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2"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2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4"/>
          <w:szCs w:val="24"/>
          <w:color w:val="auto"/>
        </w:rPr>
      </w:pPr>
    </w:p>
    <w:p>
      <w:pPr>
        <w:spacing w:after="0" w:line="25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00" w:lineRule="exact"/>
        <w:rPr>
          <w:sz w:val="24"/>
          <w:szCs w:val="24"/>
          <w:color w:val="auto"/>
        </w:rPr>
      </w:pPr>
    </w:p>
    <w:p>
      <w:pPr>
        <w:spacing w:after="0" w:line="282"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001-41842</w:t>
      </w:r>
    </w:p>
    <w:p>
      <w:pPr>
        <w:spacing w:after="0" w:line="200" w:lineRule="exact"/>
        <w:rPr>
          <w:sz w:val="24"/>
          <w:szCs w:val="24"/>
          <w:color w:val="auto"/>
        </w:rPr>
      </w:pPr>
    </w:p>
    <w:p>
      <w:pPr>
        <w:spacing w:after="0" w:line="270"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32"/>
          <w:szCs w:val="32"/>
          <w:b w:val="1"/>
          <w:bCs w:val="1"/>
          <w:color w:val="auto"/>
        </w:rPr>
        <w:t>Abivax SA</w:t>
      </w:r>
    </w:p>
    <w:p>
      <w:pPr>
        <w:spacing w:after="0" w:line="18"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color w:val="auto"/>
        </w:rPr>
        <w:t>(Exact name of Registrant as specified in its charter and translation of Registrant’s name into English)</w:t>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7-11 boulevard Haussmann</w:t>
      </w:r>
    </w:p>
    <w:p>
      <w:pPr>
        <w:spacing w:after="0" w:line="15"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75009 Paris, France</w:t>
      </w:r>
    </w:p>
    <w:p>
      <w:pPr>
        <w:jc w:val="center"/>
        <w:ind w:right="-47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March 24, 2025, Abivax SA (the "Registrant") issued a press release announcing its full-year financial results as of December 31, 2024, a copy of which is attached hereto as Exhibit 99.1 and is incorporated herein by reference.</w:t>
      </w:r>
    </w:p>
    <w:p>
      <w:pPr>
        <w:spacing w:after="0" w:line="200" w:lineRule="exact"/>
        <w:rPr>
          <w:sz w:val="24"/>
          <w:szCs w:val="24"/>
          <w:color w:val="auto"/>
        </w:rPr>
      </w:pPr>
    </w:p>
    <w:p>
      <w:pPr>
        <w:spacing w:after="0" w:line="30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Exhibit Index</w:t>
      </w:r>
    </w:p>
    <w:p>
      <w:pPr>
        <w:spacing w:after="0" w:line="152" w:lineRule="exact"/>
        <w:rPr>
          <w:sz w:val="24"/>
          <w:szCs w:val="24"/>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4"/>
          <w:szCs w:val="14"/>
          <w:color w:val="auto"/>
        </w:rPr>
        <w:t>Exhibit 99.1</w:t>
      </w:r>
      <w:r>
        <w:rPr>
          <w:sz w:val="20"/>
          <w:szCs w:val="20"/>
          <w:color w:val="auto"/>
        </w:rPr>
        <w:tab/>
      </w:r>
      <w:r>
        <w:rPr>
          <w:rFonts w:ascii="Times New Roman" w:cs="Times New Roman" w:eastAsia="Times New Roman" w:hAnsi="Times New Roman"/>
          <w:sz w:val="14"/>
          <w:szCs w:val="14"/>
          <w:color w:val="auto"/>
        </w:rPr>
        <w:t>Press release, dated March 24, 2025</w:t>
      </w:r>
    </w:p>
    <w:p>
      <w:pPr>
        <w:sectPr>
          <w:pgSz w:w="11900" w:h="16838" w:orient="portrait"/>
          <w:cols w:equalWidth="0" w:num="1">
            <w:col w:w="10760"/>
          </w:cols>
          <w:pgMar w:left="320" w:top="1440" w:right="819" w:bottom="1440" w:gutter="0" w:footer="0" w:header="0"/>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Abivax SA</w:t>
            </w:r>
          </w:p>
        </w:tc>
      </w:tr>
      <w:tr>
        <w:trPr>
          <w:trHeight w:val="228"/>
        </w:trPr>
        <w:tc>
          <w:tcPr>
            <w:tcW w:w="54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(Registrant)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81"/>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24, 2025</w:t>
            </w:r>
          </w:p>
        </w:tc>
        <w:tc>
          <w:tcPr>
            <w:tcW w:w="3980" w:type="dxa"/>
            <w:vAlign w:val="bottom"/>
          </w:tcPr>
          <w:p>
            <w:pPr>
              <w:spacing w:after="0"/>
              <w:rPr>
                <w:sz w:val="24"/>
                <w:szCs w:val="2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Marc de Garidel</w:t>
            </w:r>
          </w:p>
        </w:tc>
        <w:tc>
          <w:tcPr>
            <w:tcW w:w="160" w:type="dxa"/>
            <w:vAlign w:val="bottom"/>
          </w:tcPr>
          <w:p>
            <w:pPr>
              <w:spacing w:after="0"/>
              <w:rPr>
                <w:sz w:val="24"/>
                <w:szCs w:val="24"/>
                <w:color w:val="auto"/>
              </w:rPr>
            </w:pPr>
          </w:p>
        </w:tc>
      </w:tr>
      <w:tr>
        <w:trPr>
          <w:trHeight w:val="291"/>
        </w:trPr>
        <w:tc>
          <w:tcPr>
            <w:tcW w:w="5420" w:type="dxa"/>
            <w:vAlign w:val="bottom"/>
          </w:tcPr>
          <w:p>
            <w:pPr>
              <w:spacing w:after="0"/>
              <w:rPr>
                <w:sz w:val="24"/>
                <w:szCs w:val="24"/>
                <w:color w:val="auto"/>
              </w:rPr>
            </w:pPr>
          </w:p>
        </w:tc>
        <w:tc>
          <w:tcPr>
            <w:tcW w:w="5540" w:type="dxa"/>
            <w:vAlign w:val="bottom"/>
            <w:gridSpan w:val="5"/>
          </w:tcPr>
          <w:p>
            <w:pPr>
              <w:jc w:val="center"/>
              <w:ind w:left="3730"/>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0980"/>
          </w:cols>
          <w:pgMar w:left="320" w:top="1400" w:right="5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56" w:lineRule="exact"/>
        <w:rPr>
          <w:sz w:val="20"/>
          <w:szCs w:val="20"/>
          <w:color w:val="auto"/>
        </w:rPr>
      </w:pPr>
    </w:p>
    <w:p>
      <w:pPr>
        <w:jc w:val="center"/>
        <w:spacing w:after="0"/>
        <w:rPr>
          <w:sz w:val="20"/>
          <w:szCs w:val="20"/>
          <w:color w:val="auto"/>
        </w:rPr>
      </w:pPr>
      <w:r>
        <w:rPr>
          <w:rFonts w:ascii="Verdana" w:cs="Verdana" w:eastAsia="Verdana" w:hAnsi="Verdana"/>
          <w:sz w:val="36"/>
          <w:szCs w:val="36"/>
          <w:b w:val="1"/>
          <w:bCs w:val="1"/>
          <w:color w:val="614DD1"/>
        </w:rPr>
        <w:t>Abivax Announces Full Year 2024 Financial Results</w:t>
      </w:r>
    </w:p>
    <w:p>
      <w:pPr>
        <w:spacing w:after="0" w:line="22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Verdana" w:cs="Verdana" w:eastAsia="Verdana" w:hAnsi="Verdana"/>
          <w:sz w:val="18"/>
          <w:szCs w:val="18"/>
          <w:i w:val="1"/>
          <w:iCs w:val="1"/>
          <w:color w:val="13284B"/>
        </w:rPr>
        <w:t xml:space="preserve">Cash balance of </w:t>
      </w:r>
      <w:r>
        <w:rPr>
          <w:rFonts w:ascii="Verdana" w:cs="Verdana" w:eastAsia="Verdana" w:hAnsi="Verdana"/>
          <w:sz w:val="18"/>
          <w:szCs w:val="18"/>
          <w:b w:val="1"/>
          <w:bCs w:val="1"/>
          <w:i w:val="1"/>
          <w:iCs w:val="1"/>
          <w:color w:val="13284B"/>
        </w:rPr>
        <w:t>EUR 144.2M</w:t>
      </w:r>
      <w:r>
        <w:rPr>
          <w:rFonts w:ascii="Verdana" w:cs="Verdana" w:eastAsia="Verdana" w:hAnsi="Verdana"/>
          <w:sz w:val="18"/>
          <w:szCs w:val="18"/>
          <w:i w:val="1"/>
          <w:iCs w:val="1"/>
          <w:color w:val="13284B"/>
        </w:rPr>
        <w:t xml:space="preserve"> as of December 31, 2024; cash runway into Q4 2025</w:t>
      </w:r>
    </w:p>
    <w:p>
      <w:pPr>
        <w:spacing w:after="0" w:line="251" w:lineRule="exact"/>
        <w:rPr>
          <w:rFonts w:ascii="Times New Roman" w:cs="Times New Roman" w:eastAsia="Times New Roman" w:hAnsi="Times New Roman"/>
          <w:sz w:val="22"/>
          <w:szCs w:val="22"/>
          <w:color w:val="auto"/>
        </w:rPr>
      </w:pPr>
    </w:p>
    <w:p>
      <w:pPr>
        <w:ind w:left="660" w:right="360" w:hanging="328"/>
        <w:spacing w:after="0" w:line="236" w:lineRule="auto"/>
        <w:tabs>
          <w:tab w:leader="none" w:pos="655" w:val="left"/>
        </w:tabs>
        <w:numPr>
          <w:ilvl w:val="0"/>
          <w:numId w:val="1"/>
        </w:numPr>
        <w:rPr>
          <w:rFonts w:ascii="Times New Roman" w:cs="Times New Roman" w:eastAsia="Times New Roman" w:hAnsi="Times New Roman"/>
          <w:sz w:val="22"/>
          <w:szCs w:val="22"/>
          <w:color w:val="auto"/>
        </w:rPr>
      </w:pPr>
      <w:r>
        <w:rPr>
          <w:rFonts w:ascii="Verdana" w:cs="Verdana" w:eastAsia="Verdana" w:hAnsi="Verdana"/>
          <w:sz w:val="18"/>
          <w:szCs w:val="18"/>
          <w:i w:val="1"/>
          <w:iCs w:val="1"/>
          <w:color w:val="13284B"/>
        </w:rPr>
        <w:t>Full enrollment in Phase 3 ABTECT trial evaluating obefazimod for moderately to severely active ulcerative colitis (“UC”) expected in Q2 2025 with top-line results from the 8-week induction trials expected in Q3 2025</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uto"/>
        </w:rPr>
        <w:t xml:space="preserve">PARIS, France – March 24, 2025 – 8:30 AM CET – </w:t>
      </w:r>
      <w:r>
        <w:rPr>
          <w:rFonts w:ascii="Verdana" w:cs="Verdana" w:eastAsia="Verdana" w:hAnsi="Verdana"/>
          <w:sz w:val="20"/>
          <w:szCs w:val="20"/>
          <w:color w:val="auto"/>
        </w:rPr>
        <w:t>Abivax SA (Euronext Paris: FR0012333284 – ABVX /</w:t>
      </w:r>
    </w:p>
    <w:p>
      <w:pPr>
        <w:spacing w:after="0" w:line="226" w:lineRule="auto"/>
        <w:rPr>
          <w:sz w:val="20"/>
          <w:szCs w:val="20"/>
          <w:color w:val="auto"/>
        </w:rPr>
      </w:pPr>
      <w:r>
        <w:rPr>
          <w:rFonts w:ascii="Verdana" w:cs="Verdana" w:eastAsia="Verdana" w:hAnsi="Verdana"/>
          <w:sz w:val="20"/>
          <w:szCs w:val="20"/>
          <w:color w:val="auto"/>
        </w:rPr>
        <w:t>Nasdaq: ABVX) (“Abivax” or the “Company”), a clinical-stage biotechnology company focused on developing</w:t>
      </w:r>
    </w:p>
    <w:p>
      <w:pPr>
        <w:spacing w:after="0" w:line="1" w:lineRule="exact"/>
        <w:rPr>
          <w:sz w:val="20"/>
          <w:szCs w:val="20"/>
          <w:color w:val="auto"/>
        </w:rPr>
      </w:pPr>
    </w:p>
    <w:p>
      <w:pPr>
        <w:ind w:right="320"/>
        <w:spacing w:after="0" w:line="231" w:lineRule="auto"/>
        <w:rPr>
          <w:sz w:val="20"/>
          <w:szCs w:val="20"/>
          <w:color w:val="auto"/>
        </w:rPr>
      </w:pPr>
      <w:r>
        <w:rPr>
          <w:rFonts w:ascii="Verdana" w:cs="Verdana" w:eastAsia="Verdana" w:hAnsi="Verdana"/>
          <w:sz w:val="19"/>
          <w:szCs w:val="19"/>
          <w:color w:val="auto"/>
        </w:rPr>
        <w:t>innovative therapies for chronic inflammatory diseases, announced today its full-year financial results, as of December 31, 2024. The 2024 financial statements, approved by the Company’s Board of Directors on March</w:t>
      </w:r>
    </w:p>
    <w:p>
      <w:pPr>
        <w:spacing w:after="0" w:line="1" w:lineRule="exact"/>
        <w:rPr>
          <w:sz w:val="20"/>
          <w:szCs w:val="20"/>
          <w:color w:val="auto"/>
        </w:rPr>
      </w:pPr>
    </w:p>
    <w:p>
      <w:pPr>
        <w:jc w:val="both"/>
        <w:spacing w:after="0" w:line="233" w:lineRule="auto"/>
        <w:rPr>
          <w:sz w:val="20"/>
          <w:szCs w:val="20"/>
          <w:color w:val="auto"/>
        </w:rPr>
      </w:pPr>
      <w:r>
        <w:rPr>
          <w:rFonts w:ascii="Verdana" w:cs="Verdana" w:eastAsia="Verdana" w:hAnsi="Verdana"/>
          <w:sz w:val="20"/>
          <w:szCs w:val="20"/>
          <w:color w:val="auto"/>
        </w:rPr>
        <w:t>20, 2025, have been audited by the Company’s statutory auditors, and the financial reports will be filed with the French and U.S. securities regulatory authorities, respectively, on March 24, 2025.</w:t>
      </w:r>
    </w:p>
    <w:p>
      <w:pPr>
        <w:spacing w:after="0" w:line="217" w:lineRule="exact"/>
        <w:rPr>
          <w:sz w:val="20"/>
          <w:szCs w:val="20"/>
          <w:color w:val="auto"/>
        </w:rPr>
      </w:pPr>
    </w:p>
    <w:p>
      <w:pPr>
        <w:jc w:val="both"/>
        <w:spacing w:after="0" w:line="217" w:lineRule="auto"/>
        <w:rPr>
          <w:sz w:val="20"/>
          <w:szCs w:val="20"/>
          <w:color w:val="auto"/>
        </w:rPr>
      </w:pPr>
      <w:r>
        <w:rPr>
          <w:rFonts w:ascii="Verdana" w:cs="Verdana" w:eastAsia="Verdana" w:hAnsi="Verdana"/>
          <w:sz w:val="20"/>
          <w:szCs w:val="20"/>
          <w:b w:val="1"/>
          <w:bCs w:val="1"/>
          <w:color w:val="auto"/>
        </w:rPr>
        <w:t xml:space="preserve">Marc de Garidel, CEO of Abivax, commented: </w:t>
      </w:r>
      <w:r>
        <w:rPr>
          <w:rFonts w:ascii="Verdana" w:cs="Verdana" w:eastAsia="Verdana" w:hAnsi="Verdana"/>
          <w:sz w:val="20"/>
          <w:szCs w:val="20"/>
          <w:i w:val="1"/>
          <w:iCs w:val="1"/>
          <w:color w:val="auto"/>
        </w:rPr>
        <w:t>“2025 is set to be a transformational year for Abivax,</w:t>
      </w:r>
      <w:r>
        <w:rPr>
          <w:rFonts w:ascii="Verdana" w:cs="Verdana" w:eastAsia="Verdana" w:hAnsi="Verdana"/>
          <w:sz w:val="20"/>
          <w:szCs w:val="20"/>
          <w:b w:val="1"/>
          <w:bCs w:val="1"/>
          <w:color w:val="auto"/>
        </w:rPr>
        <w:t xml:space="preserve"> </w:t>
      </w:r>
      <w:r>
        <w:rPr>
          <w:rFonts w:ascii="Verdana" w:cs="Verdana" w:eastAsia="Verdana" w:hAnsi="Verdana"/>
          <w:sz w:val="20"/>
          <w:szCs w:val="20"/>
          <w:i w:val="1"/>
          <w:iCs w:val="1"/>
          <w:color w:val="auto"/>
        </w:rPr>
        <w:t>marking a pivotal moment in our journey. We are very pleased with our achievements in 2024, demonstrating both strong financial discipline and significant clinical progress. Our cash position secures a projected financial</w:t>
      </w:r>
    </w:p>
    <w:p>
      <w:pPr>
        <w:spacing w:after="0" w:line="2" w:lineRule="exact"/>
        <w:rPr>
          <w:sz w:val="20"/>
          <w:szCs w:val="20"/>
          <w:color w:val="auto"/>
        </w:rPr>
      </w:pPr>
    </w:p>
    <w:p>
      <w:pPr>
        <w:jc w:val="both"/>
        <w:spacing w:after="0" w:line="233" w:lineRule="auto"/>
        <w:rPr>
          <w:sz w:val="20"/>
          <w:szCs w:val="20"/>
          <w:color w:val="auto"/>
        </w:rPr>
      </w:pPr>
      <w:r>
        <w:rPr>
          <w:rFonts w:ascii="Verdana" w:cs="Verdana" w:eastAsia="Verdana" w:hAnsi="Verdana"/>
          <w:sz w:val="20"/>
          <w:szCs w:val="20"/>
          <w:i w:val="1"/>
          <w:iCs w:val="1"/>
          <w:color w:val="auto"/>
        </w:rPr>
        <w:t>runway into Q4 2025, supporting the full enrollment of ABTECT in Q2 2025 and the anticipated top-line results from the 8-week induction trials in Q3 2025, a major inflection point for Abivax.”</w:t>
      </w:r>
    </w:p>
    <w:p>
      <w:pPr>
        <w:spacing w:after="0" w:line="217"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uto"/>
        </w:rPr>
        <w:t>Financial Highlights</w:t>
      </w:r>
    </w:p>
    <w:p>
      <w:pPr>
        <w:spacing w:after="0" w:line="216" w:lineRule="exact"/>
        <w:rPr>
          <w:sz w:val="20"/>
          <w:szCs w:val="20"/>
          <w:color w:val="auto"/>
        </w:rPr>
      </w:pPr>
    </w:p>
    <w:p>
      <w:pPr>
        <w:ind w:left="660" w:hanging="328"/>
        <w:spacing w:after="0" w:line="239" w:lineRule="auto"/>
        <w:tabs>
          <w:tab w:leader="none" w:pos="648" w:val="left"/>
        </w:tabs>
        <w:numPr>
          <w:ilvl w:val="0"/>
          <w:numId w:val="2"/>
        </w:numPr>
        <w:rPr>
          <w:rFonts w:ascii="Arial" w:cs="Arial" w:eastAsia="Arial" w:hAnsi="Arial"/>
          <w:sz w:val="20"/>
          <w:szCs w:val="20"/>
          <w:color w:val="auto"/>
        </w:rPr>
      </w:pPr>
      <w:r>
        <w:rPr>
          <w:rFonts w:ascii="Verdana" w:cs="Verdana" w:eastAsia="Verdana" w:hAnsi="Verdana"/>
          <w:sz w:val="20"/>
          <w:szCs w:val="20"/>
          <w:b w:val="1"/>
          <w:bCs w:val="1"/>
          <w:color w:val="auto"/>
        </w:rPr>
        <w:t>Cash Position</w:t>
      </w:r>
      <w:r>
        <w:rPr>
          <w:rFonts w:ascii="Verdana" w:cs="Verdana" w:eastAsia="Verdana" w:hAnsi="Verdana"/>
          <w:sz w:val="20"/>
          <w:szCs w:val="20"/>
          <w:color w:val="auto"/>
        </w:rPr>
        <w:t>: The Company had a cash balance of</w:t>
      </w:r>
      <w:r>
        <w:rPr>
          <w:rFonts w:ascii="Verdana" w:cs="Verdana" w:eastAsia="Verdana" w:hAnsi="Verdana"/>
          <w:sz w:val="20"/>
          <w:szCs w:val="20"/>
          <w:b w:val="1"/>
          <w:bCs w:val="1"/>
          <w:color w:val="auto"/>
        </w:rPr>
        <w:t xml:space="preserve"> EUR 144.2M </w:t>
      </w:r>
      <w:r>
        <w:rPr>
          <w:rFonts w:ascii="Verdana" w:cs="Verdana" w:eastAsia="Verdana" w:hAnsi="Verdana"/>
          <w:sz w:val="20"/>
          <w:szCs w:val="20"/>
          <w:color w:val="auto"/>
        </w:rPr>
        <w:t>as of December 31, 2024, providing a</w:t>
      </w:r>
      <w:r>
        <w:rPr>
          <w:rFonts w:ascii="Verdana" w:cs="Verdana" w:eastAsia="Verdana" w:hAnsi="Verdana"/>
          <w:sz w:val="20"/>
          <w:szCs w:val="20"/>
          <w:b w:val="1"/>
          <w:bCs w:val="1"/>
          <w:color w:val="auto"/>
        </w:rPr>
        <w:t xml:space="preserve"> </w:t>
      </w:r>
      <w:r>
        <w:rPr>
          <w:rFonts w:ascii="Verdana" w:cs="Verdana" w:eastAsia="Verdana" w:hAnsi="Verdana"/>
          <w:sz w:val="20"/>
          <w:szCs w:val="20"/>
          <w:color w:val="auto"/>
        </w:rPr>
        <w:t xml:space="preserve">projected cash runway into </w:t>
      </w:r>
      <w:r>
        <w:rPr>
          <w:rFonts w:ascii="Verdana" w:cs="Verdana" w:eastAsia="Verdana" w:hAnsi="Verdana"/>
          <w:sz w:val="20"/>
          <w:szCs w:val="20"/>
          <w:b w:val="1"/>
          <w:bCs w:val="1"/>
          <w:color w:val="auto"/>
        </w:rPr>
        <w:t>Q4 2025</w:t>
      </w:r>
      <w:r>
        <w:rPr>
          <w:rFonts w:ascii="Verdana" w:cs="Verdana" w:eastAsia="Verdana" w:hAnsi="Verdana"/>
          <w:sz w:val="20"/>
          <w:szCs w:val="20"/>
          <w:color w:val="auto"/>
        </w:rPr>
        <w:t>.</w:t>
      </w:r>
    </w:p>
    <w:p>
      <w:pPr>
        <w:spacing w:after="0" w:line="217" w:lineRule="exact"/>
        <w:rPr>
          <w:rFonts w:ascii="Arial" w:cs="Arial" w:eastAsia="Arial" w:hAnsi="Arial"/>
          <w:sz w:val="20"/>
          <w:szCs w:val="20"/>
          <w:color w:val="auto"/>
        </w:rPr>
      </w:pPr>
    </w:p>
    <w:p>
      <w:pPr>
        <w:ind w:left="660" w:right="20" w:hanging="328"/>
        <w:spacing w:after="0" w:line="239" w:lineRule="auto"/>
        <w:tabs>
          <w:tab w:leader="none" w:pos="648" w:val="left"/>
        </w:tabs>
        <w:numPr>
          <w:ilvl w:val="0"/>
          <w:numId w:val="2"/>
        </w:numPr>
        <w:rPr>
          <w:rFonts w:ascii="Times New Roman" w:cs="Times New Roman" w:eastAsia="Times New Roman" w:hAnsi="Times New Roman"/>
          <w:sz w:val="20"/>
          <w:szCs w:val="20"/>
          <w:color w:val="auto"/>
        </w:rPr>
      </w:pPr>
      <w:r>
        <w:rPr>
          <w:rFonts w:ascii="Verdana" w:cs="Verdana" w:eastAsia="Verdana" w:hAnsi="Verdana"/>
          <w:sz w:val="20"/>
          <w:szCs w:val="20"/>
          <w:b w:val="1"/>
          <w:bCs w:val="1"/>
          <w:color w:val="auto"/>
        </w:rPr>
        <w:t>Operational Expenditures</w:t>
      </w:r>
      <w:r>
        <w:rPr>
          <w:rFonts w:ascii="Verdana" w:cs="Verdana" w:eastAsia="Verdana" w:hAnsi="Verdana"/>
          <w:sz w:val="20"/>
          <w:szCs w:val="20"/>
          <w:color w:val="auto"/>
        </w:rPr>
        <w:t>: R&amp;D expenses increased year-over-year, reflecting continued investments</w:t>
      </w:r>
      <w:r>
        <w:rPr>
          <w:rFonts w:ascii="Verdana" w:cs="Verdana" w:eastAsia="Verdana" w:hAnsi="Verdana"/>
          <w:sz w:val="20"/>
          <w:szCs w:val="20"/>
          <w:b w:val="1"/>
          <w:bCs w:val="1"/>
          <w:color w:val="auto"/>
        </w:rPr>
        <w:t xml:space="preserve"> </w:t>
      </w:r>
      <w:r>
        <w:rPr>
          <w:rFonts w:ascii="Verdana" w:cs="Verdana" w:eastAsia="Verdana" w:hAnsi="Verdana"/>
          <w:sz w:val="20"/>
          <w:szCs w:val="20"/>
          <w:color w:val="auto"/>
        </w:rPr>
        <w:t>in the Phase 3 ABTECT clinical program and manufacturing scale-up.</w:t>
      </w:r>
    </w:p>
    <w:p>
      <w:pPr>
        <w:spacing w:after="0" w:line="216" w:lineRule="exact"/>
        <w:rPr>
          <w:rFonts w:ascii="Times New Roman" w:cs="Times New Roman" w:eastAsia="Times New Roman" w:hAnsi="Times New Roman"/>
          <w:sz w:val="20"/>
          <w:szCs w:val="20"/>
          <w:color w:val="auto"/>
        </w:rPr>
      </w:pPr>
    </w:p>
    <w:p>
      <w:pPr>
        <w:ind w:left="660" w:hanging="328"/>
        <w:spacing w:after="0" w:line="239" w:lineRule="auto"/>
        <w:tabs>
          <w:tab w:leader="none" w:pos="648" w:val="left"/>
        </w:tabs>
        <w:numPr>
          <w:ilvl w:val="0"/>
          <w:numId w:val="2"/>
        </w:numPr>
        <w:rPr>
          <w:rFonts w:ascii="Times New Roman" w:cs="Times New Roman" w:eastAsia="Times New Roman" w:hAnsi="Times New Roman"/>
          <w:sz w:val="20"/>
          <w:szCs w:val="20"/>
          <w:color w:val="auto"/>
        </w:rPr>
      </w:pPr>
      <w:r>
        <w:rPr>
          <w:rFonts w:ascii="Verdana" w:cs="Verdana" w:eastAsia="Verdana" w:hAnsi="Verdana"/>
          <w:sz w:val="20"/>
          <w:szCs w:val="20"/>
          <w:b w:val="1"/>
          <w:bCs w:val="1"/>
          <w:color w:val="auto"/>
        </w:rPr>
        <w:t>Financial Outlook</w:t>
      </w:r>
      <w:r>
        <w:rPr>
          <w:rFonts w:ascii="Verdana" w:cs="Verdana" w:eastAsia="Verdana" w:hAnsi="Verdana"/>
          <w:sz w:val="20"/>
          <w:szCs w:val="20"/>
          <w:color w:val="auto"/>
        </w:rPr>
        <w:t>: The Company remains focused on disciplined financial management while advancing</w:t>
      </w:r>
      <w:r>
        <w:rPr>
          <w:rFonts w:ascii="Verdana" w:cs="Verdana" w:eastAsia="Verdana" w:hAnsi="Verdana"/>
          <w:sz w:val="20"/>
          <w:szCs w:val="20"/>
          <w:b w:val="1"/>
          <w:bCs w:val="1"/>
          <w:color w:val="auto"/>
        </w:rPr>
        <w:t xml:space="preserve"> </w:t>
      </w:r>
      <w:r>
        <w:rPr>
          <w:rFonts w:ascii="Verdana" w:cs="Verdana" w:eastAsia="Verdana" w:hAnsi="Verdana"/>
          <w:sz w:val="20"/>
          <w:szCs w:val="20"/>
          <w:color w:val="auto"/>
        </w:rPr>
        <w:t>its clinical development pipeline and preparing for potential commercialization.</w:t>
      </w:r>
    </w:p>
    <w:p>
      <w:pPr>
        <w:sectPr>
          <w:pgSz w:w="11900" w:h="16838" w:orient="portrait"/>
          <w:cols w:equalWidth="0" w:num="1">
            <w:col w:w="11240"/>
          </w:cols>
          <w:pgMar w:left="320" w:top="846"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72"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uto"/>
        </w:rPr>
        <w:t>Upcoming Milestones</w:t>
      </w:r>
    </w:p>
    <w:p>
      <w:pPr>
        <w:spacing w:after="0" w:line="21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Verdana" w:cs="Verdana" w:eastAsia="Verdana" w:hAnsi="Verdana"/>
          <w:sz w:val="20"/>
          <w:szCs w:val="20"/>
          <w:color w:val="auto"/>
        </w:rPr>
        <w:t xml:space="preserve">Completion of </w:t>
      </w:r>
      <w:r>
        <w:rPr>
          <w:rFonts w:ascii="Verdana" w:cs="Verdana" w:eastAsia="Verdana" w:hAnsi="Verdana"/>
          <w:sz w:val="20"/>
          <w:szCs w:val="20"/>
          <w:b w:val="1"/>
          <w:bCs w:val="1"/>
          <w:color w:val="auto"/>
        </w:rPr>
        <w:t>Phase 3 ABTECT induction trials enrollment</w:t>
      </w:r>
      <w:r>
        <w:rPr>
          <w:rFonts w:ascii="Verdana" w:cs="Verdana" w:eastAsia="Verdana" w:hAnsi="Verdana"/>
          <w:sz w:val="20"/>
          <w:szCs w:val="20"/>
          <w:color w:val="auto"/>
        </w:rPr>
        <w:t xml:space="preserve"> – Q2 2025</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Verdana" w:cs="Verdana" w:eastAsia="Verdana" w:hAnsi="Verdana"/>
          <w:sz w:val="20"/>
          <w:szCs w:val="20"/>
          <w:b w:val="1"/>
          <w:bCs w:val="1"/>
          <w:color w:val="auto"/>
        </w:rPr>
        <w:t xml:space="preserve">Top-line results from induction trials </w:t>
      </w:r>
      <w:r>
        <w:rPr>
          <w:rFonts w:ascii="Verdana" w:cs="Verdana" w:eastAsia="Verdana" w:hAnsi="Verdana"/>
          <w:sz w:val="20"/>
          <w:szCs w:val="20"/>
          <w:color w:val="auto"/>
        </w:rPr>
        <w:t>– Q3 2025</w:t>
      </w:r>
    </w:p>
    <w:p>
      <w:pPr>
        <w:spacing w:after="0" w:line="22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Verdana" w:cs="Verdana" w:eastAsia="Verdana" w:hAnsi="Verdana"/>
          <w:sz w:val="20"/>
          <w:szCs w:val="20"/>
          <w:color w:val="auto"/>
        </w:rPr>
        <w:t xml:space="preserve">Completion of </w:t>
      </w:r>
      <w:r>
        <w:rPr>
          <w:rFonts w:ascii="Verdana" w:cs="Verdana" w:eastAsia="Verdana" w:hAnsi="Verdana"/>
          <w:sz w:val="21"/>
          <w:szCs w:val="21"/>
          <w:b w:val="1"/>
          <w:bCs w:val="1"/>
          <w:color w:val="auto"/>
        </w:rPr>
        <w:t>44-week maintenance trial</w:t>
      </w:r>
      <w:r>
        <w:rPr>
          <w:rFonts w:ascii="Verdana" w:cs="Verdana" w:eastAsia="Verdana" w:hAnsi="Verdana"/>
          <w:sz w:val="20"/>
          <w:szCs w:val="20"/>
          <w:color w:val="auto"/>
        </w:rPr>
        <w:t xml:space="preserve"> – Q2 2026</w:t>
      </w:r>
    </w:p>
    <w:p>
      <w:pPr>
        <w:spacing w:after="0" w:line="24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Verdana" w:cs="Verdana" w:eastAsia="Verdana" w:hAnsi="Verdana"/>
          <w:sz w:val="20"/>
          <w:szCs w:val="20"/>
          <w:b w:val="1"/>
          <w:bCs w:val="1"/>
          <w:color w:val="auto"/>
        </w:rPr>
        <w:t xml:space="preserve">Top-line results from maintenance study </w:t>
      </w:r>
      <w:r>
        <w:rPr>
          <w:rFonts w:ascii="Verdana" w:cs="Verdana" w:eastAsia="Verdana" w:hAnsi="Verdana"/>
          <w:sz w:val="20"/>
          <w:szCs w:val="20"/>
          <w:color w:val="auto"/>
        </w:rPr>
        <w:t>– Q2 2026</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614DD1"/>
        </w:rPr>
        <w:t>2024 financial highlights (IFRS figures)</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940" w:type="dxa"/>
            <w:vAlign w:val="bottom"/>
            <w:tcBorders>
              <w:top w:val="single" w:sz="8" w:color="auto"/>
              <w:left w:val="single" w:sz="8" w:color="auto"/>
            </w:tcBorders>
            <w:shd w:val="clear" w:color="auto" w:fill="614DD2"/>
          </w:tcPr>
          <w:p>
            <w:pPr>
              <w:ind w:left="40"/>
              <w:spacing w:after="0"/>
              <w:rPr>
                <w:sz w:val="20"/>
                <w:szCs w:val="20"/>
                <w:color w:val="auto"/>
              </w:rPr>
            </w:pPr>
            <w:r>
              <w:rPr>
                <w:rFonts w:ascii="Verdana" w:cs="Verdana" w:eastAsia="Verdana" w:hAnsi="Verdana"/>
                <w:sz w:val="18"/>
                <w:szCs w:val="18"/>
                <w:b w:val="1"/>
                <w:bCs w:val="1"/>
                <w:color w:val="FFFFFF"/>
              </w:rPr>
              <w:t>Income Statement</w:t>
            </w:r>
          </w:p>
        </w:tc>
        <w:tc>
          <w:tcPr>
            <w:tcW w:w="1880" w:type="dxa"/>
            <w:vAlign w:val="bottom"/>
            <w:tcBorders>
              <w:top w:val="single" w:sz="8" w:color="auto"/>
            </w:tcBorders>
            <w:shd w:val="clear" w:color="auto" w:fill="614DD2"/>
          </w:tcPr>
          <w:p>
            <w:pPr>
              <w:ind w:left="620"/>
              <w:spacing w:after="0"/>
              <w:rPr>
                <w:sz w:val="20"/>
                <w:szCs w:val="20"/>
                <w:color w:val="auto"/>
              </w:rPr>
            </w:pPr>
            <w:r>
              <w:rPr>
                <w:rFonts w:ascii="Verdana" w:cs="Verdana" w:eastAsia="Verdana" w:hAnsi="Verdana"/>
                <w:sz w:val="18"/>
                <w:szCs w:val="18"/>
                <w:b w:val="1"/>
                <w:bCs w:val="1"/>
                <w:color w:val="FFFFFF"/>
              </w:rPr>
              <w:t>FY 2024</w:t>
            </w:r>
          </w:p>
        </w:tc>
        <w:tc>
          <w:tcPr>
            <w:tcW w:w="1740" w:type="dxa"/>
            <w:vAlign w:val="bottom"/>
            <w:tcBorders>
              <w:top w:val="single" w:sz="8" w:color="auto"/>
            </w:tcBorders>
            <w:shd w:val="clear" w:color="auto" w:fill="614DD2"/>
          </w:tcPr>
          <w:p>
            <w:pPr>
              <w:ind w:left="420"/>
              <w:spacing w:after="0"/>
              <w:rPr>
                <w:sz w:val="20"/>
                <w:szCs w:val="20"/>
                <w:color w:val="auto"/>
              </w:rPr>
            </w:pPr>
            <w:r>
              <w:rPr>
                <w:rFonts w:ascii="Verdana" w:cs="Verdana" w:eastAsia="Verdana" w:hAnsi="Verdana"/>
                <w:sz w:val="18"/>
                <w:szCs w:val="18"/>
                <w:b w:val="1"/>
                <w:bCs w:val="1"/>
                <w:color w:val="FFFFFF"/>
              </w:rPr>
              <w:t>FY 2023</w:t>
            </w:r>
          </w:p>
        </w:tc>
        <w:tc>
          <w:tcPr>
            <w:tcW w:w="1680" w:type="dxa"/>
            <w:vAlign w:val="bottom"/>
            <w:tcBorders>
              <w:top w:val="single" w:sz="8" w:color="auto"/>
            </w:tcBorders>
            <w:shd w:val="clear" w:color="auto" w:fill="614DD2"/>
          </w:tcPr>
          <w:p>
            <w:pPr>
              <w:ind w:left="520"/>
              <w:spacing w:after="0"/>
              <w:rPr>
                <w:sz w:val="20"/>
                <w:szCs w:val="20"/>
                <w:color w:val="auto"/>
              </w:rPr>
            </w:pPr>
            <w:r>
              <w:rPr>
                <w:rFonts w:ascii="Verdana" w:cs="Verdana" w:eastAsia="Verdana" w:hAnsi="Verdana"/>
                <w:sz w:val="18"/>
                <w:szCs w:val="18"/>
                <w:b w:val="1"/>
                <w:bCs w:val="1"/>
                <w:color w:val="FFFFFF"/>
              </w:rPr>
              <w:t>Change</w:t>
            </w:r>
          </w:p>
        </w:tc>
        <w:tc>
          <w:tcPr>
            <w:tcW w:w="20" w:type="dxa"/>
            <w:vAlign w:val="bottom"/>
            <w:tcBorders>
              <w:top w:val="single" w:sz="8" w:color="auto"/>
            </w:tcBorders>
            <w:shd w:val="clear" w:color="auto" w:fill="000000"/>
          </w:tcPr>
          <w:p>
            <w:pPr>
              <w:spacing w:after="0"/>
              <w:rPr>
                <w:sz w:val="22"/>
                <w:szCs w:val="22"/>
                <w:color w:val="auto"/>
              </w:rPr>
            </w:pPr>
          </w:p>
        </w:tc>
      </w:tr>
      <w:tr>
        <w:trPr>
          <w:trHeight w:val="270"/>
        </w:trPr>
        <w:tc>
          <w:tcPr>
            <w:tcW w:w="5940" w:type="dxa"/>
            <w:vAlign w:val="bottom"/>
            <w:tcBorders>
              <w:left w:val="single" w:sz="8" w:color="auto"/>
            </w:tcBorders>
            <w:shd w:val="clear" w:color="auto" w:fill="614DD2"/>
          </w:tcPr>
          <w:p>
            <w:pPr>
              <w:ind w:left="40"/>
              <w:spacing w:after="0"/>
              <w:rPr>
                <w:sz w:val="20"/>
                <w:szCs w:val="20"/>
                <w:color w:val="auto"/>
              </w:rPr>
            </w:pPr>
            <w:r>
              <w:rPr>
                <w:rFonts w:ascii="Verdana" w:cs="Verdana" w:eastAsia="Verdana" w:hAnsi="Verdana"/>
                <w:sz w:val="18"/>
                <w:szCs w:val="18"/>
                <w:b w:val="1"/>
                <w:bCs w:val="1"/>
                <w:color w:val="FFFFFF"/>
              </w:rPr>
              <w:t>in millions of euros</w:t>
            </w:r>
          </w:p>
        </w:tc>
        <w:tc>
          <w:tcPr>
            <w:tcW w:w="1880" w:type="dxa"/>
            <w:vAlign w:val="bottom"/>
            <w:shd w:val="clear" w:color="auto" w:fill="614DD2"/>
          </w:tcPr>
          <w:p>
            <w:pPr>
              <w:spacing w:after="0"/>
              <w:rPr>
                <w:sz w:val="23"/>
                <w:szCs w:val="23"/>
                <w:color w:val="auto"/>
              </w:rPr>
            </w:pPr>
          </w:p>
        </w:tc>
        <w:tc>
          <w:tcPr>
            <w:tcW w:w="1740" w:type="dxa"/>
            <w:vAlign w:val="bottom"/>
            <w:shd w:val="clear" w:color="auto" w:fill="614DD2"/>
          </w:tcPr>
          <w:p>
            <w:pPr>
              <w:spacing w:after="0"/>
              <w:rPr>
                <w:sz w:val="23"/>
                <w:szCs w:val="23"/>
                <w:color w:val="auto"/>
              </w:rPr>
            </w:pPr>
          </w:p>
        </w:tc>
        <w:tc>
          <w:tcPr>
            <w:tcW w:w="1680" w:type="dxa"/>
            <w:vAlign w:val="bottom"/>
            <w:shd w:val="clear" w:color="auto" w:fill="614DD2"/>
          </w:tcPr>
          <w:p>
            <w:pPr>
              <w:spacing w:after="0"/>
              <w:rPr>
                <w:sz w:val="23"/>
                <w:szCs w:val="23"/>
                <w:color w:val="auto"/>
              </w:rPr>
            </w:pPr>
          </w:p>
        </w:tc>
        <w:tc>
          <w:tcPr>
            <w:tcW w:w="20" w:type="dxa"/>
            <w:vAlign w:val="bottom"/>
            <w:shd w:val="clear" w:color="auto" w:fill="000000"/>
          </w:tcPr>
          <w:p>
            <w:pPr>
              <w:spacing w:after="0"/>
              <w:rPr>
                <w:sz w:val="23"/>
                <w:szCs w:val="23"/>
                <w:color w:val="auto"/>
              </w:rPr>
            </w:pPr>
          </w:p>
        </w:tc>
      </w:tr>
      <w:tr>
        <w:trPr>
          <w:trHeight w:val="243"/>
        </w:trPr>
        <w:tc>
          <w:tcPr>
            <w:tcW w:w="5940" w:type="dxa"/>
            <w:vAlign w:val="bottom"/>
            <w:tcBorders>
              <w:left w:val="single" w:sz="8" w:color="auto"/>
            </w:tcBorders>
          </w:tcPr>
          <w:p>
            <w:pPr>
              <w:ind w:left="40"/>
              <w:spacing w:after="0"/>
              <w:rPr>
                <w:sz w:val="20"/>
                <w:szCs w:val="20"/>
                <w:color w:val="auto"/>
              </w:rPr>
            </w:pPr>
            <w:r>
              <w:rPr>
                <w:rFonts w:ascii="Verdana" w:cs="Verdana" w:eastAsia="Verdana" w:hAnsi="Verdana"/>
                <w:sz w:val="18"/>
                <w:szCs w:val="18"/>
                <w:color w:val="auto"/>
              </w:rPr>
              <w:t>Total operating income</w:t>
            </w:r>
          </w:p>
        </w:tc>
        <w:tc>
          <w:tcPr>
            <w:tcW w:w="1880" w:type="dxa"/>
            <w:vAlign w:val="bottom"/>
          </w:tcPr>
          <w:p>
            <w:pPr>
              <w:jc w:val="center"/>
              <w:ind w:left="90"/>
              <w:spacing w:after="0"/>
              <w:rPr>
                <w:sz w:val="20"/>
                <w:szCs w:val="20"/>
                <w:color w:val="auto"/>
              </w:rPr>
            </w:pPr>
            <w:r>
              <w:rPr>
                <w:rFonts w:ascii="Verdana" w:cs="Verdana" w:eastAsia="Verdana" w:hAnsi="Verdana"/>
                <w:sz w:val="18"/>
                <w:szCs w:val="18"/>
                <w:color w:val="13284B"/>
              </w:rPr>
              <w:t>12.5</w:t>
            </w:r>
          </w:p>
        </w:tc>
        <w:tc>
          <w:tcPr>
            <w:tcW w:w="1740" w:type="dxa"/>
            <w:vAlign w:val="bottom"/>
          </w:tcPr>
          <w:p>
            <w:pPr>
              <w:jc w:val="center"/>
              <w:spacing w:after="0"/>
              <w:rPr>
                <w:sz w:val="20"/>
                <w:szCs w:val="20"/>
                <w:color w:val="auto"/>
              </w:rPr>
            </w:pPr>
            <w:r>
              <w:rPr>
                <w:rFonts w:ascii="Verdana" w:cs="Verdana" w:eastAsia="Verdana" w:hAnsi="Verdana"/>
                <w:sz w:val="18"/>
                <w:szCs w:val="18"/>
                <w:color w:val="13284B"/>
              </w:rPr>
              <w:t>4.6</w:t>
            </w:r>
          </w:p>
        </w:tc>
        <w:tc>
          <w:tcPr>
            <w:tcW w:w="1680" w:type="dxa"/>
            <w:vAlign w:val="bottom"/>
          </w:tcPr>
          <w:p>
            <w:pPr>
              <w:jc w:val="center"/>
              <w:ind w:left="30"/>
              <w:spacing w:after="0"/>
              <w:rPr>
                <w:sz w:val="20"/>
                <w:szCs w:val="20"/>
                <w:color w:val="auto"/>
              </w:rPr>
            </w:pPr>
            <w:r>
              <w:rPr>
                <w:rFonts w:ascii="Verdana" w:cs="Verdana" w:eastAsia="Verdana" w:hAnsi="Verdana"/>
                <w:sz w:val="18"/>
                <w:szCs w:val="18"/>
                <w:color w:val="13284B"/>
                <w:w w:val="94"/>
              </w:rPr>
              <w:t>7.9</w:t>
            </w:r>
          </w:p>
        </w:tc>
        <w:tc>
          <w:tcPr>
            <w:tcW w:w="20" w:type="dxa"/>
            <w:vAlign w:val="bottom"/>
            <w:shd w:val="clear" w:color="auto" w:fill="000000"/>
          </w:tcPr>
          <w:p>
            <w:pPr>
              <w:spacing w:after="0"/>
              <w:rPr>
                <w:sz w:val="21"/>
                <w:szCs w:val="21"/>
                <w:color w:val="auto"/>
              </w:rPr>
            </w:pPr>
          </w:p>
        </w:tc>
      </w:tr>
      <w:tr>
        <w:trPr>
          <w:trHeight w:val="257"/>
        </w:trPr>
        <w:tc>
          <w:tcPr>
            <w:tcW w:w="5940" w:type="dxa"/>
            <w:vAlign w:val="bottom"/>
            <w:tcBorders>
              <w:left w:val="single" w:sz="8" w:color="auto"/>
            </w:tcBorders>
          </w:tcPr>
          <w:p>
            <w:pPr>
              <w:ind w:left="40"/>
              <w:spacing w:after="0"/>
              <w:rPr>
                <w:sz w:val="20"/>
                <w:szCs w:val="20"/>
                <w:color w:val="auto"/>
              </w:rPr>
            </w:pPr>
            <w:r>
              <w:rPr>
                <w:rFonts w:ascii="Verdana" w:cs="Verdana" w:eastAsia="Verdana" w:hAnsi="Verdana"/>
                <w:sz w:val="18"/>
                <w:szCs w:val="18"/>
                <w:color w:val="auto"/>
              </w:rPr>
              <w:t>Total operating expenses</w:t>
            </w:r>
          </w:p>
        </w:tc>
        <w:tc>
          <w:tcPr>
            <w:tcW w:w="18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r>
      <w:tr>
        <w:trPr>
          <w:trHeight w:val="257"/>
        </w:trPr>
        <w:tc>
          <w:tcPr>
            <w:tcW w:w="5940" w:type="dxa"/>
            <w:vAlign w:val="bottom"/>
            <w:tcBorders>
              <w:left w:val="single" w:sz="8" w:color="auto"/>
            </w:tcBorders>
          </w:tcPr>
          <w:p>
            <w:pPr>
              <w:jc w:val="right"/>
              <w:spacing w:after="0"/>
              <w:rPr>
                <w:sz w:val="20"/>
                <w:szCs w:val="20"/>
                <w:color w:val="auto"/>
              </w:rPr>
            </w:pPr>
            <w:r>
              <w:rPr>
                <w:rFonts w:ascii="Verdana" w:cs="Verdana" w:eastAsia="Verdana" w:hAnsi="Verdana"/>
                <w:sz w:val="18"/>
                <w:szCs w:val="18"/>
                <w:i w:val="1"/>
                <w:iCs w:val="1"/>
                <w:color w:val="auto"/>
              </w:rPr>
              <w:t>of which Research and Development costs</w:t>
            </w:r>
          </w:p>
        </w:tc>
        <w:tc>
          <w:tcPr>
            <w:tcW w:w="1880" w:type="dxa"/>
            <w:vAlign w:val="bottom"/>
          </w:tcPr>
          <w:p>
            <w:pPr>
              <w:jc w:val="center"/>
              <w:ind w:left="110"/>
              <w:spacing w:after="0"/>
              <w:rPr>
                <w:sz w:val="20"/>
                <w:szCs w:val="20"/>
                <w:color w:val="auto"/>
              </w:rPr>
            </w:pPr>
            <w:r>
              <w:rPr>
                <w:rFonts w:ascii="Verdana" w:cs="Verdana" w:eastAsia="Verdana" w:hAnsi="Verdana"/>
                <w:sz w:val="18"/>
                <w:szCs w:val="18"/>
                <w:color w:val="13284B"/>
                <w:w w:val="98"/>
              </w:rPr>
              <w:t>(146.5)</w:t>
            </w:r>
          </w:p>
        </w:tc>
        <w:tc>
          <w:tcPr>
            <w:tcW w:w="1740" w:type="dxa"/>
            <w:vAlign w:val="bottom"/>
          </w:tcPr>
          <w:p>
            <w:pPr>
              <w:jc w:val="center"/>
              <w:spacing w:after="0"/>
              <w:rPr>
                <w:sz w:val="20"/>
                <w:szCs w:val="20"/>
                <w:color w:val="auto"/>
              </w:rPr>
            </w:pPr>
            <w:r>
              <w:rPr>
                <w:rFonts w:ascii="Verdana" w:cs="Verdana" w:eastAsia="Verdana" w:hAnsi="Verdana"/>
                <w:sz w:val="18"/>
                <w:szCs w:val="18"/>
                <w:color w:val="13284B"/>
              </w:rPr>
              <w:t>(103.2)</w:t>
            </w:r>
          </w:p>
        </w:tc>
        <w:tc>
          <w:tcPr>
            <w:tcW w:w="1680" w:type="dxa"/>
            <w:vAlign w:val="bottom"/>
          </w:tcPr>
          <w:p>
            <w:pPr>
              <w:jc w:val="center"/>
              <w:ind w:left="30"/>
              <w:spacing w:after="0"/>
              <w:rPr>
                <w:sz w:val="20"/>
                <w:szCs w:val="20"/>
                <w:color w:val="auto"/>
              </w:rPr>
            </w:pPr>
            <w:r>
              <w:rPr>
                <w:rFonts w:ascii="Verdana" w:cs="Verdana" w:eastAsia="Verdana" w:hAnsi="Verdana"/>
                <w:sz w:val="18"/>
                <w:szCs w:val="18"/>
                <w:color w:val="13284B"/>
                <w:w w:val="97"/>
              </w:rPr>
              <w:t>(43.3)</w:t>
            </w:r>
          </w:p>
        </w:tc>
        <w:tc>
          <w:tcPr>
            <w:tcW w:w="20" w:type="dxa"/>
            <w:vAlign w:val="bottom"/>
            <w:shd w:val="clear" w:color="auto" w:fill="000000"/>
          </w:tcPr>
          <w:p>
            <w:pPr>
              <w:spacing w:after="0"/>
              <w:rPr>
                <w:sz w:val="22"/>
                <w:szCs w:val="22"/>
                <w:color w:val="auto"/>
              </w:rPr>
            </w:pPr>
          </w:p>
        </w:tc>
      </w:tr>
      <w:tr>
        <w:trPr>
          <w:trHeight w:val="256"/>
        </w:trPr>
        <w:tc>
          <w:tcPr>
            <w:tcW w:w="5940" w:type="dxa"/>
            <w:vAlign w:val="bottom"/>
            <w:tcBorders>
              <w:left w:val="single" w:sz="8" w:color="auto"/>
            </w:tcBorders>
          </w:tcPr>
          <w:p>
            <w:pPr>
              <w:jc w:val="right"/>
              <w:spacing w:after="0"/>
              <w:rPr>
                <w:sz w:val="20"/>
                <w:szCs w:val="20"/>
                <w:color w:val="auto"/>
              </w:rPr>
            </w:pPr>
            <w:r>
              <w:rPr>
                <w:rFonts w:ascii="Verdana" w:cs="Verdana" w:eastAsia="Verdana" w:hAnsi="Verdana"/>
                <w:sz w:val="18"/>
                <w:szCs w:val="18"/>
                <w:i w:val="1"/>
                <w:iCs w:val="1"/>
                <w:color w:val="auto"/>
              </w:rPr>
              <w:t>of which Sales and Marketing costs</w:t>
            </w:r>
          </w:p>
        </w:tc>
        <w:tc>
          <w:tcPr>
            <w:tcW w:w="1880" w:type="dxa"/>
            <w:vAlign w:val="bottom"/>
          </w:tcPr>
          <w:p>
            <w:pPr>
              <w:jc w:val="center"/>
              <w:ind w:left="90"/>
              <w:spacing w:after="0"/>
              <w:rPr>
                <w:sz w:val="20"/>
                <w:szCs w:val="20"/>
                <w:color w:val="auto"/>
              </w:rPr>
            </w:pPr>
            <w:r>
              <w:rPr>
                <w:rFonts w:ascii="Verdana" w:cs="Verdana" w:eastAsia="Verdana" w:hAnsi="Verdana"/>
                <w:sz w:val="18"/>
                <w:szCs w:val="18"/>
                <w:color w:val="13284B"/>
              </w:rPr>
              <w:t>(6.0)</w:t>
            </w:r>
          </w:p>
        </w:tc>
        <w:tc>
          <w:tcPr>
            <w:tcW w:w="1740" w:type="dxa"/>
            <w:vAlign w:val="bottom"/>
          </w:tcPr>
          <w:p>
            <w:pPr>
              <w:jc w:val="center"/>
              <w:spacing w:after="0"/>
              <w:rPr>
                <w:sz w:val="20"/>
                <w:szCs w:val="20"/>
                <w:color w:val="auto"/>
              </w:rPr>
            </w:pPr>
            <w:r>
              <w:rPr>
                <w:rFonts w:ascii="Verdana" w:cs="Verdana" w:eastAsia="Verdana" w:hAnsi="Verdana"/>
                <w:sz w:val="18"/>
                <w:szCs w:val="18"/>
                <w:color w:val="13284B"/>
              </w:rPr>
              <w:t>(6.4)</w:t>
            </w:r>
          </w:p>
        </w:tc>
        <w:tc>
          <w:tcPr>
            <w:tcW w:w="1680" w:type="dxa"/>
            <w:vAlign w:val="bottom"/>
          </w:tcPr>
          <w:p>
            <w:pPr>
              <w:jc w:val="center"/>
              <w:ind w:left="30"/>
              <w:spacing w:after="0"/>
              <w:rPr>
                <w:sz w:val="20"/>
                <w:szCs w:val="20"/>
                <w:color w:val="auto"/>
              </w:rPr>
            </w:pPr>
            <w:r>
              <w:rPr>
                <w:rFonts w:ascii="Verdana" w:cs="Verdana" w:eastAsia="Verdana" w:hAnsi="Verdana"/>
                <w:sz w:val="18"/>
                <w:szCs w:val="18"/>
                <w:color w:val="13284B"/>
                <w:w w:val="94"/>
              </w:rPr>
              <w:t>0.4</w:t>
            </w:r>
          </w:p>
        </w:tc>
        <w:tc>
          <w:tcPr>
            <w:tcW w:w="20" w:type="dxa"/>
            <w:vAlign w:val="bottom"/>
            <w:shd w:val="clear" w:color="auto" w:fill="000000"/>
          </w:tcPr>
          <w:p>
            <w:pPr>
              <w:spacing w:after="0"/>
              <w:rPr>
                <w:sz w:val="22"/>
                <w:szCs w:val="22"/>
                <w:color w:val="auto"/>
              </w:rPr>
            </w:pPr>
          </w:p>
        </w:tc>
      </w:tr>
      <w:tr>
        <w:trPr>
          <w:trHeight w:val="263"/>
        </w:trPr>
        <w:tc>
          <w:tcPr>
            <w:tcW w:w="5940" w:type="dxa"/>
            <w:vAlign w:val="bottom"/>
            <w:tcBorders>
              <w:left w:val="single" w:sz="8" w:color="auto"/>
            </w:tcBorders>
          </w:tcPr>
          <w:p>
            <w:pPr>
              <w:jc w:val="right"/>
              <w:spacing w:after="0"/>
              <w:rPr>
                <w:sz w:val="20"/>
                <w:szCs w:val="20"/>
                <w:color w:val="auto"/>
              </w:rPr>
            </w:pPr>
            <w:r>
              <w:rPr>
                <w:rFonts w:ascii="Verdana" w:cs="Verdana" w:eastAsia="Verdana" w:hAnsi="Verdana"/>
                <w:sz w:val="18"/>
                <w:szCs w:val="18"/>
                <w:i w:val="1"/>
                <w:iCs w:val="1"/>
                <w:color w:val="auto"/>
              </w:rPr>
              <w:t>of which General and Administrative costs</w:t>
            </w:r>
          </w:p>
        </w:tc>
        <w:tc>
          <w:tcPr>
            <w:tcW w:w="1880" w:type="dxa"/>
            <w:vAlign w:val="bottom"/>
          </w:tcPr>
          <w:p>
            <w:pPr>
              <w:jc w:val="center"/>
              <w:ind w:left="90"/>
              <w:spacing w:after="0"/>
              <w:rPr>
                <w:sz w:val="20"/>
                <w:szCs w:val="20"/>
                <w:color w:val="auto"/>
              </w:rPr>
            </w:pPr>
            <w:r>
              <w:rPr>
                <w:rFonts w:ascii="Verdana" w:cs="Verdana" w:eastAsia="Verdana" w:hAnsi="Verdana"/>
                <w:sz w:val="18"/>
                <w:szCs w:val="18"/>
                <w:color w:val="13284B"/>
              </w:rPr>
              <w:t>(32.9)</w:t>
            </w:r>
          </w:p>
        </w:tc>
        <w:tc>
          <w:tcPr>
            <w:tcW w:w="1740" w:type="dxa"/>
            <w:vAlign w:val="bottom"/>
          </w:tcPr>
          <w:p>
            <w:pPr>
              <w:jc w:val="center"/>
              <w:spacing w:after="0"/>
              <w:rPr>
                <w:sz w:val="20"/>
                <w:szCs w:val="20"/>
                <w:color w:val="auto"/>
              </w:rPr>
            </w:pPr>
            <w:r>
              <w:rPr>
                <w:rFonts w:ascii="Verdana" w:cs="Verdana" w:eastAsia="Verdana" w:hAnsi="Verdana"/>
                <w:sz w:val="18"/>
                <w:szCs w:val="18"/>
                <w:color w:val="13284B"/>
              </w:rPr>
              <w:t>(22.4)</w:t>
            </w:r>
          </w:p>
        </w:tc>
        <w:tc>
          <w:tcPr>
            <w:tcW w:w="1680" w:type="dxa"/>
            <w:vAlign w:val="bottom"/>
          </w:tcPr>
          <w:p>
            <w:pPr>
              <w:jc w:val="center"/>
              <w:ind w:left="30"/>
              <w:spacing w:after="0"/>
              <w:rPr>
                <w:sz w:val="20"/>
                <w:szCs w:val="20"/>
                <w:color w:val="auto"/>
              </w:rPr>
            </w:pPr>
            <w:r>
              <w:rPr>
                <w:rFonts w:ascii="Verdana" w:cs="Verdana" w:eastAsia="Verdana" w:hAnsi="Verdana"/>
                <w:sz w:val="18"/>
                <w:szCs w:val="18"/>
                <w:color w:val="13284B"/>
                <w:w w:val="97"/>
              </w:rPr>
              <w:t>(10.5)</w:t>
            </w:r>
          </w:p>
        </w:tc>
        <w:tc>
          <w:tcPr>
            <w:tcW w:w="20" w:type="dxa"/>
            <w:vAlign w:val="bottom"/>
            <w:shd w:val="clear" w:color="auto" w:fill="000000"/>
          </w:tcPr>
          <w:p>
            <w:pPr>
              <w:spacing w:after="0"/>
              <w:rPr>
                <w:sz w:val="22"/>
                <w:szCs w:val="22"/>
                <w:color w:val="auto"/>
              </w:rPr>
            </w:pPr>
          </w:p>
        </w:tc>
      </w:tr>
      <w:tr>
        <w:trPr>
          <w:trHeight w:val="263"/>
        </w:trPr>
        <w:tc>
          <w:tcPr>
            <w:tcW w:w="5940" w:type="dxa"/>
            <w:vAlign w:val="bottom"/>
            <w:tcBorders>
              <w:left w:val="single" w:sz="8" w:color="auto"/>
            </w:tcBorders>
            <w:shd w:val="clear" w:color="auto" w:fill="614DD2"/>
          </w:tcPr>
          <w:p>
            <w:pPr>
              <w:ind w:left="40"/>
              <w:spacing w:after="0"/>
              <w:rPr>
                <w:sz w:val="20"/>
                <w:szCs w:val="20"/>
                <w:color w:val="auto"/>
              </w:rPr>
            </w:pPr>
            <w:r>
              <w:rPr>
                <w:rFonts w:ascii="Verdana" w:cs="Verdana" w:eastAsia="Verdana" w:hAnsi="Verdana"/>
                <w:sz w:val="18"/>
                <w:szCs w:val="18"/>
                <w:b w:val="1"/>
                <w:bCs w:val="1"/>
                <w:color w:val="FFFFFF"/>
              </w:rPr>
              <w:t>Operating loss</w:t>
            </w:r>
          </w:p>
        </w:tc>
        <w:tc>
          <w:tcPr>
            <w:tcW w:w="1880" w:type="dxa"/>
            <w:vAlign w:val="bottom"/>
            <w:shd w:val="clear" w:color="auto" w:fill="614DD2"/>
          </w:tcPr>
          <w:p>
            <w:pPr>
              <w:jc w:val="center"/>
              <w:ind w:left="90"/>
              <w:spacing w:after="0"/>
              <w:rPr>
                <w:sz w:val="20"/>
                <w:szCs w:val="20"/>
                <w:color w:val="auto"/>
              </w:rPr>
            </w:pPr>
            <w:r>
              <w:rPr>
                <w:rFonts w:ascii="Verdana" w:cs="Verdana" w:eastAsia="Verdana" w:hAnsi="Verdana"/>
                <w:sz w:val="18"/>
                <w:szCs w:val="18"/>
                <w:b w:val="1"/>
                <w:bCs w:val="1"/>
                <w:color w:val="FFFFFF"/>
              </w:rPr>
              <w:t>(172.9)</w:t>
            </w:r>
          </w:p>
        </w:tc>
        <w:tc>
          <w:tcPr>
            <w:tcW w:w="1740" w:type="dxa"/>
            <w:vAlign w:val="bottom"/>
            <w:shd w:val="clear" w:color="auto" w:fill="614DD2"/>
          </w:tcPr>
          <w:p>
            <w:pPr>
              <w:jc w:val="center"/>
              <w:spacing w:after="0"/>
              <w:rPr>
                <w:sz w:val="20"/>
                <w:szCs w:val="20"/>
                <w:color w:val="auto"/>
              </w:rPr>
            </w:pPr>
            <w:r>
              <w:rPr>
                <w:rFonts w:ascii="Verdana" w:cs="Verdana" w:eastAsia="Verdana" w:hAnsi="Verdana"/>
                <w:sz w:val="18"/>
                <w:szCs w:val="18"/>
                <w:b w:val="1"/>
                <w:bCs w:val="1"/>
                <w:color w:val="FFFFFF"/>
              </w:rPr>
              <w:t>(127.4)</w:t>
            </w:r>
          </w:p>
        </w:tc>
        <w:tc>
          <w:tcPr>
            <w:tcW w:w="1680" w:type="dxa"/>
            <w:vAlign w:val="bottom"/>
            <w:shd w:val="clear" w:color="auto" w:fill="614DD2"/>
          </w:tcPr>
          <w:p>
            <w:pPr>
              <w:jc w:val="center"/>
              <w:ind w:left="30"/>
              <w:spacing w:after="0"/>
              <w:rPr>
                <w:sz w:val="20"/>
                <w:szCs w:val="20"/>
                <w:color w:val="auto"/>
              </w:rPr>
            </w:pPr>
            <w:r>
              <w:rPr>
                <w:rFonts w:ascii="Verdana" w:cs="Verdana" w:eastAsia="Verdana" w:hAnsi="Verdana"/>
                <w:sz w:val="18"/>
                <w:szCs w:val="18"/>
                <w:b w:val="1"/>
                <w:bCs w:val="1"/>
                <w:color w:val="FFFFFF"/>
                <w:w w:val="99"/>
              </w:rPr>
              <w:t>(45.5)</w:t>
            </w:r>
          </w:p>
        </w:tc>
        <w:tc>
          <w:tcPr>
            <w:tcW w:w="20" w:type="dxa"/>
            <w:vAlign w:val="bottom"/>
            <w:shd w:val="clear" w:color="auto" w:fill="000000"/>
          </w:tcPr>
          <w:p>
            <w:pPr>
              <w:spacing w:after="0"/>
              <w:rPr>
                <w:sz w:val="22"/>
                <w:szCs w:val="22"/>
                <w:color w:val="auto"/>
              </w:rPr>
            </w:pPr>
          </w:p>
        </w:tc>
      </w:tr>
      <w:tr>
        <w:trPr>
          <w:trHeight w:val="250"/>
        </w:trPr>
        <w:tc>
          <w:tcPr>
            <w:tcW w:w="5940" w:type="dxa"/>
            <w:vAlign w:val="bottom"/>
            <w:tcBorders>
              <w:left w:val="single" w:sz="8" w:color="auto"/>
            </w:tcBorders>
          </w:tcPr>
          <w:p>
            <w:pPr>
              <w:ind w:left="40"/>
              <w:spacing w:after="0"/>
              <w:rPr>
                <w:sz w:val="20"/>
                <w:szCs w:val="20"/>
                <w:color w:val="auto"/>
              </w:rPr>
            </w:pPr>
            <w:r>
              <w:rPr>
                <w:rFonts w:ascii="Verdana" w:cs="Verdana" w:eastAsia="Verdana" w:hAnsi="Verdana"/>
                <w:sz w:val="18"/>
                <w:szCs w:val="18"/>
                <w:color w:val="auto"/>
              </w:rPr>
              <w:t>Financial loss</w:t>
            </w:r>
          </w:p>
        </w:tc>
        <w:tc>
          <w:tcPr>
            <w:tcW w:w="1880" w:type="dxa"/>
            <w:vAlign w:val="bottom"/>
          </w:tcPr>
          <w:p>
            <w:pPr>
              <w:jc w:val="center"/>
              <w:ind w:left="90"/>
              <w:spacing w:after="0"/>
              <w:rPr>
                <w:sz w:val="20"/>
                <w:szCs w:val="20"/>
                <w:color w:val="auto"/>
              </w:rPr>
            </w:pPr>
            <w:r>
              <w:rPr>
                <w:rFonts w:ascii="Verdana" w:cs="Verdana" w:eastAsia="Verdana" w:hAnsi="Verdana"/>
                <w:sz w:val="18"/>
                <w:szCs w:val="18"/>
                <w:color w:val="13284B"/>
              </w:rPr>
              <w:t>(3.3)</w:t>
            </w:r>
          </w:p>
        </w:tc>
        <w:tc>
          <w:tcPr>
            <w:tcW w:w="1740" w:type="dxa"/>
            <w:vAlign w:val="bottom"/>
          </w:tcPr>
          <w:p>
            <w:pPr>
              <w:jc w:val="center"/>
              <w:spacing w:after="0"/>
              <w:rPr>
                <w:sz w:val="20"/>
                <w:szCs w:val="20"/>
                <w:color w:val="auto"/>
              </w:rPr>
            </w:pPr>
            <w:r>
              <w:rPr>
                <w:rFonts w:ascii="Verdana" w:cs="Verdana" w:eastAsia="Verdana" w:hAnsi="Verdana"/>
                <w:sz w:val="18"/>
                <w:szCs w:val="18"/>
                <w:color w:val="13284B"/>
              </w:rPr>
              <w:t>(20.4)</w:t>
            </w:r>
          </w:p>
        </w:tc>
        <w:tc>
          <w:tcPr>
            <w:tcW w:w="1680" w:type="dxa"/>
            <w:vAlign w:val="bottom"/>
          </w:tcPr>
          <w:p>
            <w:pPr>
              <w:jc w:val="center"/>
              <w:ind w:left="30"/>
              <w:spacing w:after="0"/>
              <w:rPr>
                <w:sz w:val="20"/>
                <w:szCs w:val="20"/>
                <w:color w:val="auto"/>
              </w:rPr>
            </w:pPr>
            <w:r>
              <w:rPr>
                <w:rFonts w:ascii="Verdana" w:cs="Verdana" w:eastAsia="Verdana" w:hAnsi="Verdana"/>
                <w:sz w:val="18"/>
                <w:szCs w:val="18"/>
                <w:color w:val="13284B"/>
                <w:w w:val="97"/>
              </w:rPr>
              <w:t>17.1</w:t>
            </w:r>
          </w:p>
        </w:tc>
        <w:tc>
          <w:tcPr>
            <w:tcW w:w="20" w:type="dxa"/>
            <w:vAlign w:val="bottom"/>
            <w:shd w:val="clear" w:color="auto" w:fill="000000"/>
          </w:tcPr>
          <w:p>
            <w:pPr>
              <w:spacing w:after="0"/>
              <w:rPr>
                <w:sz w:val="21"/>
                <w:szCs w:val="21"/>
                <w:color w:val="auto"/>
              </w:rPr>
            </w:pPr>
          </w:p>
        </w:tc>
      </w:tr>
      <w:tr>
        <w:trPr>
          <w:trHeight w:val="257"/>
        </w:trPr>
        <w:tc>
          <w:tcPr>
            <w:tcW w:w="5940" w:type="dxa"/>
            <w:vAlign w:val="bottom"/>
            <w:tcBorders>
              <w:left w:val="single" w:sz="8" w:color="auto"/>
              <w:bottom w:val="single" w:sz="8" w:color="auto"/>
            </w:tcBorders>
            <w:shd w:val="clear" w:color="auto" w:fill="614DD2"/>
          </w:tcPr>
          <w:p>
            <w:pPr>
              <w:ind w:left="40"/>
              <w:spacing w:after="0"/>
              <w:rPr>
                <w:sz w:val="20"/>
                <w:szCs w:val="20"/>
                <w:color w:val="auto"/>
              </w:rPr>
            </w:pPr>
            <w:r>
              <w:rPr>
                <w:rFonts w:ascii="Verdana" w:cs="Verdana" w:eastAsia="Verdana" w:hAnsi="Verdana"/>
                <w:sz w:val="18"/>
                <w:szCs w:val="18"/>
                <w:b w:val="1"/>
                <w:bCs w:val="1"/>
                <w:color w:val="FFFFFF"/>
              </w:rPr>
              <w:t>Net loss for the period</w:t>
            </w:r>
          </w:p>
        </w:tc>
        <w:tc>
          <w:tcPr>
            <w:tcW w:w="1880" w:type="dxa"/>
            <w:vAlign w:val="bottom"/>
            <w:tcBorders>
              <w:bottom w:val="single" w:sz="8" w:color="auto"/>
            </w:tcBorders>
            <w:shd w:val="clear" w:color="auto" w:fill="614DD2"/>
          </w:tcPr>
          <w:p>
            <w:pPr>
              <w:jc w:val="center"/>
              <w:ind w:left="90"/>
              <w:spacing w:after="0"/>
              <w:rPr>
                <w:sz w:val="20"/>
                <w:szCs w:val="20"/>
                <w:color w:val="auto"/>
              </w:rPr>
            </w:pPr>
            <w:r>
              <w:rPr>
                <w:rFonts w:ascii="Verdana" w:cs="Verdana" w:eastAsia="Verdana" w:hAnsi="Verdana"/>
                <w:sz w:val="18"/>
                <w:szCs w:val="18"/>
                <w:b w:val="1"/>
                <w:bCs w:val="1"/>
                <w:color w:val="FFFFFF"/>
              </w:rPr>
              <w:t>(176.2)</w:t>
            </w:r>
          </w:p>
        </w:tc>
        <w:tc>
          <w:tcPr>
            <w:tcW w:w="1740" w:type="dxa"/>
            <w:vAlign w:val="bottom"/>
            <w:tcBorders>
              <w:bottom w:val="single" w:sz="8" w:color="auto"/>
            </w:tcBorders>
            <w:shd w:val="clear" w:color="auto" w:fill="614DD2"/>
          </w:tcPr>
          <w:p>
            <w:pPr>
              <w:jc w:val="center"/>
              <w:spacing w:after="0"/>
              <w:rPr>
                <w:sz w:val="20"/>
                <w:szCs w:val="20"/>
                <w:color w:val="auto"/>
              </w:rPr>
            </w:pPr>
            <w:r>
              <w:rPr>
                <w:rFonts w:ascii="Verdana" w:cs="Verdana" w:eastAsia="Verdana" w:hAnsi="Verdana"/>
                <w:sz w:val="18"/>
                <w:szCs w:val="18"/>
                <w:b w:val="1"/>
                <w:bCs w:val="1"/>
                <w:color w:val="FFFFFF"/>
              </w:rPr>
              <w:t>(147.8)</w:t>
            </w:r>
          </w:p>
        </w:tc>
        <w:tc>
          <w:tcPr>
            <w:tcW w:w="1680" w:type="dxa"/>
            <w:vAlign w:val="bottom"/>
            <w:tcBorders>
              <w:bottom w:val="single" w:sz="8" w:color="auto"/>
            </w:tcBorders>
            <w:shd w:val="clear" w:color="auto" w:fill="614DD2"/>
          </w:tcPr>
          <w:p>
            <w:pPr>
              <w:jc w:val="center"/>
              <w:ind w:left="30"/>
              <w:spacing w:after="0"/>
              <w:rPr>
                <w:sz w:val="20"/>
                <w:szCs w:val="20"/>
                <w:color w:val="auto"/>
              </w:rPr>
            </w:pPr>
            <w:r>
              <w:rPr>
                <w:rFonts w:ascii="Verdana" w:cs="Verdana" w:eastAsia="Verdana" w:hAnsi="Verdana"/>
                <w:sz w:val="18"/>
                <w:szCs w:val="18"/>
                <w:b w:val="1"/>
                <w:bCs w:val="1"/>
                <w:color w:val="FFFFFF"/>
                <w:w w:val="99"/>
              </w:rPr>
              <w:t>(28.4)</w:t>
            </w:r>
          </w:p>
        </w:tc>
        <w:tc>
          <w:tcPr>
            <w:tcW w:w="20" w:type="dxa"/>
            <w:vAlign w:val="bottom"/>
            <w:tcBorders>
              <w:bottom w:val="single" w:sz="8" w:color="auto"/>
            </w:tcBorders>
            <w:shd w:val="clear" w:color="auto" w:fill="000000"/>
          </w:tcPr>
          <w:p>
            <w:pPr>
              <w:spacing w:after="0"/>
              <w:rPr>
                <w:sz w:val="22"/>
                <w:szCs w:val="22"/>
                <w:color w:val="auto"/>
              </w:rPr>
            </w:pPr>
          </w:p>
        </w:tc>
      </w:tr>
      <w:tr>
        <w:trPr>
          <w:trHeight w:val="365"/>
        </w:trPr>
        <w:tc>
          <w:tcPr>
            <w:tcW w:w="59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7"/>
        </w:trPr>
        <w:tc>
          <w:tcPr>
            <w:tcW w:w="5940" w:type="dxa"/>
            <w:vAlign w:val="bottom"/>
            <w:tcBorders>
              <w:left w:val="single" w:sz="8" w:color="614DD2"/>
            </w:tcBorders>
            <w:shd w:val="clear" w:color="auto" w:fill="614DD2"/>
          </w:tcPr>
          <w:p>
            <w:pPr>
              <w:ind w:left="40"/>
              <w:spacing w:after="0"/>
              <w:rPr>
                <w:sz w:val="20"/>
                <w:szCs w:val="20"/>
                <w:color w:val="auto"/>
              </w:rPr>
            </w:pPr>
            <w:r>
              <w:rPr>
                <w:rFonts w:ascii="Verdana" w:cs="Verdana" w:eastAsia="Verdana" w:hAnsi="Verdana"/>
                <w:sz w:val="18"/>
                <w:szCs w:val="18"/>
                <w:b w:val="1"/>
                <w:bCs w:val="1"/>
                <w:color w:val="FFFFFF"/>
              </w:rPr>
              <w:t>Balance Sheet</w:t>
            </w:r>
          </w:p>
        </w:tc>
        <w:tc>
          <w:tcPr>
            <w:tcW w:w="1880" w:type="dxa"/>
            <w:vAlign w:val="bottom"/>
            <w:shd w:val="clear" w:color="auto" w:fill="614DD2"/>
          </w:tcPr>
          <w:p>
            <w:pPr>
              <w:jc w:val="center"/>
              <w:ind w:left="110"/>
              <w:spacing w:after="0"/>
              <w:rPr>
                <w:sz w:val="20"/>
                <w:szCs w:val="20"/>
                <w:color w:val="auto"/>
              </w:rPr>
            </w:pPr>
            <w:r>
              <w:rPr>
                <w:rFonts w:ascii="Verdana" w:cs="Verdana" w:eastAsia="Verdana" w:hAnsi="Verdana"/>
                <w:sz w:val="18"/>
                <w:szCs w:val="18"/>
                <w:b w:val="1"/>
                <w:bCs w:val="1"/>
                <w:color w:val="FFFFFF"/>
                <w:w w:val="99"/>
              </w:rPr>
              <w:t>FY2024</w:t>
            </w:r>
          </w:p>
        </w:tc>
        <w:tc>
          <w:tcPr>
            <w:tcW w:w="1740" w:type="dxa"/>
            <w:vAlign w:val="bottom"/>
            <w:shd w:val="clear" w:color="auto" w:fill="614DD2"/>
          </w:tcPr>
          <w:p>
            <w:pPr>
              <w:jc w:val="center"/>
              <w:ind w:right="10"/>
              <w:spacing w:after="0"/>
              <w:rPr>
                <w:sz w:val="20"/>
                <w:szCs w:val="20"/>
                <w:color w:val="auto"/>
              </w:rPr>
            </w:pPr>
            <w:r>
              <w:rPr>
                <w:rFonts w:ascii="Verdana" w:cs="Verdana" w:eastAsia="Verdana" w:hAnsi="Verdana"/>
                <w:sz w:val="18"/>
                <w:szCs w:val="18"/>
                <w:b w:val="1"/>
                <w:bCs w:val="1"/>
                <w:color w:val="FFFFFF"/>
                <w:w w:val="99"/>
              </w:rPr>
              <w:t>FY2023</w:t>
            </w:r>
          </w:p>
        </w:tc>
        <w:tc>
          <w:tcPr>
            <w:tcW w:w="1680" w:type="dxa"/>
            <w:vAlign w:val="bottom"/>
            <w:shd w:val="clear" w:color="auto" w:fill="614DD2"/>
          </w:tcPr>
          <w:p>
            <w:pPr>
              <w:ind w:left="520"/>
              <w:spacing w:after="0"/>
              <w:rPr>
                <w:sz w:val="20"/>
                <w:szCs w:val="20"/>
                <w:color w:val="auto"/>
              </w:rPr>
            </w:pPr>
            <w:r>
              <w:rPr>
                <w:rFonts w:ascii="Verdana" w:cs="Verdana" w:eastAsia="Verdana" w:hAnsi="Verdana"/>
                <w:sz w:val="18"/>
                <w:szCs w:val="18"/>
                <w:b w:val="1"/>
                <w:bCs w:val="1"/>
                <w:color w:val="FFFFFF"/>
              </w:rPr>
              <w:t>Change</w:t>
            </w:r>
          </w:p>
        </w:tc>
        <w:tc>
          <w:tcPr>
            <w:tcW w:w="20" w:type="dxa"/>
            <w:vAlign w:val="bottom"/>
          </w:tcPr>
          <w:p>
            <w:pPr>
              <w:spacing w:after="0"/>
              <w:rPr>
                <w:sz w:val="20"/>
                <w:szCs w:val="20"/>
                <w:color w:val="auto"/>
              </w:rPr>
            </w:pPr>
          </w:p>
        </w:tc>
      </w:tr>
      <w:tr>
        <w:trPr>
          <w:trHeight w:val="270"/>
        </w:trPr>
        <w:tc>
          <w:tcPr>
            <w:tcW w:w="5940" w:type="dxa"/>
            <w:vAlign w:val="bottom"/>
            <w:tcBorders>
              <w:left w:val="single" w:sz="8" w:color="614DD2"/>
            </w:tcBorders>
            <w:shd w:val="clear" w:color="auto" w:fill="614DD2"/>
          </w:tcPr>
          <w:p>
            <w:pPr>
              <w:ind w:left="40"/>
              <w:spacing w:after="0"/>
              <w:rPr>
                <w:sz w:val="20"/>
                <w:szCs w:val="20"/>
                <w:color w:val="auto"/>
              </w:rPr>
            </w:pPr>
            <w:r>
              <w:rPr>
                <w:rFonts w:ascii="Verdana" w:cs="Verdana" w:eastAsia="Verdana" w:hAnsi="Verdana"/>
                <w:sz w:val="18"/>
                <w:szCs w:val="18"/>
                <w:i w:val="1"/>
                <w:iCs w:val="1"/>
                <w:color w:val="FFFFFF"/>
              </w:rPr>
              <w:t>in millions of euros</w:t>
            </w:r>
          </w:p>
        </w:tc>
        <w:tc>
          <w:tcPr>
            <w:tcW w:w="1880" w:type="dxa"/>
            <w:vAlign w:val="bottom"/>
            <w:shd w:val="clear" w:color="auto" w:fill="614DD2"/>
          </w:tcPr>
          <w:p>
            <w:pPr>
              <w:spacing w:after="0"/>
              <w:rPr>
                <w:sz w:val="23"/>
                <w:szCs w:val="23"/>
                <w:color w:val="auto"/>
              </w:rPr>
            </w:pPr>
          </w:p>
        </w:tc>
        <w:tc>
          <w:tcPr>
            <w:tcW w:w="1740" w:type="dxa"/>
            <w:vAlign w:val="bottom"/>
            <w:shd w:val="clear" w:color="auto" w:fill="614DD2"/>
          </w:tcPr>
          <w:p>
            <w:pPr>
              <w:spacing w:after="0"/>
              <w:rPr>
                <w:sz w:val="23"/>
                <w:szCs w:val="23"/>
                <w:color w:val="auto"/>
              </w:rPr>
            </w:pPr>
          </w:p>
        </w:tc>
        <w:tc>
          <w:tcPr>
            <w:tcW w:w="1680" w:type="dxa"/>
            <w:vAlign w:val="bottom"/>
            <w:shd w:val="clear" w:color="auto" w:fill="614DD2"/>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59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5940" w:type="dxa"/>
            <w:vAlign w:val="bottom"/>
            <w:tcBorders>
              <w:left w:val="single" w:sz="8" w:color="614DD2"/>
            </w:tcBorders>
            <w:shd w:val="clear" w:color="auto" w:fill="614DD2"/>
          </w:tcPr>
          <w:p>
            <w:pPr>
              <w:ind w:left="40"/>
              <w:spacing w:after="0"/>
              <w:rPr>
                <w:sz w:val="20"/>
                <w:szCs w:val="20"/>
                <w:color w:val="auto"/>
              </w:rPr>
            </w:pPr>
            <w:r>
              <w:rPr>
                <w:rFonts w:ascii="Verdana" w:cs="Verdana" w:eastAsia="Verdana" w:hAnsi="Verdana"/>
                <w:sz w:val="18"/>
                <w:szCs w:val="18"/>
                <w:b w:val="1"/>
                <w:bCs w:val="1"/>
                <w:color w:val="FFFFFF"/>
              </w:rPr>
              <w:t>Net financial position</w:t>
            </w:r>
          </w:p>
        </w:tc>
        <w:tc>
          <w:tcPr>
            <w:tcW w:w="1880" w:type="dxa"/>
            <w:vAlign w:val="bottom"/>
            <w:shd w:val="clear" w:color="auto" w:fill="614DD2"/>
          </w:tcPr>
          <w:p>
            <w:pPr>
              <w:jc w:val="center"/>
              <w:ind w:left="90"/>
              <w:spacing w:after="0"/>
              <w:rPr>
                <w:sz w:val="20"/>
                <w:szCs w:val="20"/>
                <w:color w:val="auto"/>
              </w:rPr>
            </w:pPr>
            <w:r>
              <w:rPr>
                <w:rFonts w:ascii="Verdana" w:cs="Verdana" w:eastAsia="Verdana" w:hAnsi="Verdana"/>
                <w:sz w:val="18"/>
                <w:szCs w:val="18"/>
                <w:b w:val="1"/>
                <w:bCs w:val="1"/>
                <w:color w:val="FFFFFF"/>
              </w:rPr>
              <w:t>53.4</w:t>
            </w:r>
          </w:p>
        </w:tc>
        <w:tc>
          <w:tcPr>
            <w:tcW w:w="1740" w:type="dxa"/>
            <w:vAlign w:val="bottom"/>
            <w:shd w:val="clear" w:color="auto" w:fill="614DD2"/>
          </w:tcPr>
          <w:p>
            <w:pPr>
              <w:jc w:val="center"/>
              <w:spacing w:after="0"/>
              <w:rPr>
                <w:sz w:val="20"/>
                <w:szCs w:val="20"/>
                <w:color w:val="auto"/>
              </w:rPr>
            </w:pPr>
            <w:r>
              <w:rPr>
                <w:rFonts w:ascii="Verdana" w:cs="Verdana" w:eastAsia="Verdana" w:hAnsi="Verdana"/>
                <w:sz w:val="18"/>
                <w:szCs w:val="18"/>
                <w:b w:val="1"/>
                <w:bCs w:val="1"/>
                <w:color w:val="FFFFFF"/>
              </w:rPr>
              <w:t>203.2</w:t>
            </w:r>
          </w:p>
        </w:tc>
        <w:tc>
          <w:tcPr>
            <w:tcW w:w="1680" w:type="dxa"/>
            <w:vAlign w:val="bottom"/>
            <w:shd w:val="clear" w:color="auto" w:fill="614DD2"/>
          </w:tcPr>
          <w:p>
            <w:pPr>
              <w:jc w:val="center"/>
              <w:ind w:left="30"/>
              <w:spacing w:after="0"/>
              <w:rPr>
                <w:sz w:val="20"/>
                <w:szCs w:val="20"/>
                <w:color w:val="auto"/>
              </w:rPr>
            </w:pPr>
            <w:r>
              <w:rPr>
                <w:rFonts w:ascii="Verdana" w:cs="Verdana" w:eastAsia="Verdana" w:hAnsi="Verdana"/>
                <w:sz w:val="18"/>
                <w:szCs w:val="18"/>
                <w:b w:val="1"/>
                <w:bCs w:val="1"/>
                <w:color w:val="FFFFFF"/>
                <w:w w:val="98"/>
              </w:rPr>
              <w:t>(149.7)</w:t>
            </w:r>
          </w:p>
        </w:tc>
        <w:tc>
          <w:tcPr>
            <w:tcW w:w="20" w:type="dxa"/>
            <w:vAlign w:val="bottom"/>
          </w:tcPr>
          <w:p>
            <w:pPr>
              <w:spacing w:after="0"/>
              <w:rPr>
                <w:sz w:val="22"/>
                <w:szCs w:val="22"/>
                <w:color w:val="auto"/>
              </w:rPr>
            </w:pPr>
          </w:p>
        </w:tc>
      </w:tr>
      <w:tr>
        <w:trPr>
          <w:trHeight w:val="243"/>
        </w:trPr>
        <w:tc>
          <w:tcPr>
            <w:tcW w:w="5940" w:type="dxa"/>
            <w:vAlign w:val="bottom"/>
          </w:tcPr>
          <w:p>
            <w:pPr>
              <w:ind w:left="40"/>
              <w:spacing w:after="0"/>
              <w:rPr>
                <w:sz w:val="20"/>
                <w:szCs w:val="20"/>
                <w:color w:val="auto"/>
              </w:rPr>
            </w:pPr>
            <w:r>
              <w:rPr>
                <w:rFonts w:ascii="Verdana" w:cs="Verdana" w:eastAsia="Verdana" w:hAnsi="Verdana"/>
                <w:sz w:val="18"/>
                <w:szCs w:val="18"/>
                <w:color w:val="auto"/>
                <w:w w:val="99"/>
              </w:rPr>
              <w:t>of which other financial assets and other receivables and assets*</w:t>
            </w:r>
          </w:p>
        </w:tc>
        <w:tc>
          <w:tcPr>
            <w:tcW w:w="1880" w:type="dxa"/>
            <w:vAlign w:val="bottom"/>
          </w:tcPr>
          <w:p>
            <w:pPr>
              <w:jc w:val="center"/>
              <w:ind w:left="90"/>
              <w:spacing w:after="0"/>
              <w:rPr>
                <w:sz w:val="20"/>
                <w:szCs w:val="20"/>
                <w:color w:val="auto"/>
              </w:rPr>
            </w:pPr>
            <w:r>
              <w:rPr>
                <w:rFonts w:ascii="Verdana" w:cs="Verdana" w:eastAsia="Verdana" w:hAnsi="Verdana"/>
                <w:sz w:val="18"/>
                <w:szCs w:val="18"/>
                <w:color w:val="13284B"/>
              </w:rPr>
              <w:t>23.2</w:t>
            </w:r>
          </w:p>
        </w:tc>
        <w:tc>
          <w:tcPr>
            <w:tcW w:w="1740" w:type="dxa"/>
            <w:vAlign w:val="bottom"/>
          </w:tcPr>
          <w:p>
            <w:pPr>
              <w:jc w:val="center"/>
              <w:spacing w:after="0"/>
              <w:rPr>
                <w:sz w:val="20"/>
                <w:szCs w:val="20"/>
                <w:color w:val="auto"/>
              </w:rPr>
            </w:pPr>
            <w:r>
              <w:rPr>
                <w:rFonts w:ascii="Verdana" w:cs="Verdana" w:eastAsia="Verdana" w:hAnsi="Verdana"/>
                <w:sz w:val="18"/>
                <w:szCs w:val="18"/>
                <w:color w:val="13284B"/>
              </w:rPr>
              <w:t>28.3</w:t>
            </w:r>
          </w:p>
        </w:tc>
        <w:tc>
          <w:tcPr>
            <w:tcW w:w="1680" w:type="dxa"/>
            <w:vAlign w:val="bottom"/>
          </w:tcPr>
          <w:p>
            <w:pPr>
              <w:jc w:val="center"/>
              <w:ind w:left="10"/>
              <w:spacing w:after="0"/>
              <w:rPr>
                <w:sz w:val="20"/>
                <w:szCs w:val="20"/>
                <w:color w:val="auto"/>
              </w:rPr>
            </w:pPr>
            <w:r>
              <w:rPr>
                <w:rFonts w:ascii="Verdana" w:cs="Verdana" w:eastAsia="Verdana" w:hAnsi="Verdana"/>
                <w:sz w:val="18"/>
                <w:szCs w:val="18"/>
                <w:color w:val="13284B"/>
              </w:rPr>
              <w:t>(5.1)</w:t>
            </w:r>
          </w:p>
        </w:tc>
        <w:tc>
          <w:tcPr>
            <w:tcW w:w="20" w:type="dxa"/>
            <w:vAlign w:val="bottom"/>
          </w:tcPr>
          <w:p>
            <w:pPr>
              <w:spacing w:after="0"/>
              <w:rPr>
                <w:sz w:val="21"/>
                <w:szCs w:val="21"/>
                <w:color w:val="auto"/>
              </w:rPr>
            </w:pPr>
          </w:p>
        </w:tc>
      </w:tr>
      <w:tr>
        <w:trPr>
          <w:trHeight w:val="257"/>
        </w:trPr>
        <w:tc>
          <w:tcPr>
            <w:tcW w:w="5940" w:type="dxa"/>
            <w:vAlign w:val="bottom"/>
          </w:tcPr>
          <w:p>
            <w:pPr>
              <w:ind w:left="40"/>
              <w:spacing w:after="0"/>
              <w:rPr>
                <w:sz w:val="20"/>
                <w:szCs w:val="20"/>
                <w:color w:val="auto"/>
              </w:rPr>
            </w:pPr>
            <w:r>
              <w:rPr>
                <w:rFonts w:ascii="Verdana" w:cs="Verdana" w:eastAsia="Verdana" w:hAnsi="Verdana"/>
                <w:sz w:val="18"/>
                <w:szCs w:val="18"/>
                <w:color w:val="auto"/>
              </w:rPr>
              <w:t>of which fixed-term deposits (maturing in &gt; 1 year)</w:t>
            </w:r>
          </w:p>
        </w:tc>
        <w:tc>
          <w:tcPr>
            <w:tcW w:w="1880" w:type="dxa"/>
            <w:vAlign w:val="bottom"/>
          </w:tcPr>
          <w:p>
            <w:pPr>
              <w:jc w:val="center"/>
              <w:ind w:left="90"/>
              <w:spacing w:after="0"/>
              <w:rPr>
                <w:sz w:val="20"/>
                <w:szCs w:val="20"/>
                <w:color w:val="auto"/>
              </w:rPr>
            </w:pPr>
            <w:r>
              <w:rPr>
                <w:rFonts w:ascii="Verdana" w:cs="Verdana" w:eastAsia="Verdana" w:hAnsi="Verdana"/>
                <w:sz w:val="18"/>
                <w:szCs w:val="18"/>
                <w:color w:val="13284B"/>
              </w:rPr>
              <w:t>0.0</w:t>
            </w:r>
          </w:p>
        </w:tc>
        <w:tc>
          <w:tcPr>
            <w:tcW w:w="1740" w:type="dxa"/>
            <w:vAlign w:val="bottom"/>
          </w:tcPr>
          <w:p>
            <w:pPr>
              <w:jc w:val="center"/>
              <w:spacing w:after="0"/>
              <w:rPr>
                <w:sz w:val="20"/>
                <w:szCs w:val="20"/>
                <w:color w:val="auto"/>
              </w:rPr>
            </w:pPr>
            <w:r>
              <w:rPr>
                <w:rFonts w:ascii="Verdana" w:cs="Verdana" w:eastAsia="Verdana" w:hAnsi="Verdana"/>
                <w:sz w:val="18"/>
                <w:szCs w:val="18"/>
                <w:color w:val="13284B"/>
              </w:rPr>
              <w:t>0.0</w:t>
            </w:r>
          </w:p>
        </w:tc>
        <w:tc>
          <w:tcPr>
            <w:tcW w:w="1680" w:type="dxa"/>
            <w:vAlign w:val="bottom"/>
          </w:tcPr>
          <w:p>
            <w:pPr>
              <w:jc w:val="center"/>
              <w:ind w:left="30"/>
              <w:spacing w:after="0"/>
              <w:rPr>
                <w:sz w:val="20"/>
                <w:szCs w:val="20"/>
                <w:color w:val="auto"/>
              </w:rPr>
            </w:pPr>
            <w:r>
              <w:rPr>
                <w:rFonts w:ascii="Verdana" w:cs="Verdana" w:eastAsia="Verdana" w:hAnsi="Verdana"/>
                <w:sz w:val="18"/>
                <w:szCs w:val="18"/>
                <w:color w:val="13284B"/>
                <w:w w:val="94"/>
              </w:rPr>
              <w:t>0.0</w:t>
            </w:r>
          </w:p>
        </w:tc>
        <w:tc>
          <w:tcPr>
            <w:tcW w:w="20" w:type="dxa"/>
            <w:vAlign w:val="bottom"/>
          </w:tcPr>
          <w:p>
            <w:pPr>
              <w:spacing w:after="0"/>
              <w:rPr>
                <w:sz w:val="22"/>
                <w:szCs w:val="22"/>
                <w:color w:val="auto"/>
              </w:rPr>
            </w:pPr>
          </w:p>
        </w:tc>
      </w:tr>
      <w:tr>
        <w:trPr>
          <w:trHeight w:val="257"/>
        </w:trPr>
        <w:tc>
          <w:tcPr>
            <w:tcW w:w="5940" w:type="dxa"/>
            <w:vAlign w:val="bottom"/>
          </w:tcPr>
          <w:p>
            <w:pPr>
              <w:ind w:left="40"/>
              <w:spacing w:after="0"/>
              <w:rPr>
                <w:sz w:val="20"/>
                <w:szCs w:val="20"/>
                <w:color w:val="auto"/>
              </w:rPr>
            </w:pPr>
            <w:r>
              <w:rPr>
                <w:rFonts w:ascii="Verdana" w:cs="Verdana" w:eastAsia="Verdana" w:hAnsi="Verdana"/>
                <w:sz w:val="18"/>
                <w:szCs w:val="18"/>
                <w:color w:val="auto"/>
              </w:rPr>
              <w:t>of which fixed-term deposits (maturing in &lt; 1 year)</w:t>
            </w:r>
          </w:p>
        </w:tc>
        <w:tc>
          <w:tcPr>
            <w:tcW w:w="1880" w:type="dxa"/>
            <w:vAlign w:val="bottom"/>
          </w:tcPr>
          <w:p>
            <w:pPr>
              <w:jc w:val="center"/>
              <w:ind w:left="90"/>
              <w:spacing w:after="0"/>
              <w:rPr>
                <w:sz w:val="20"/>
                <w:szCs w:val="20"/>
                <w:color w:val="auto"/>
              </w:rPr>
            </w:pPr>
            <w:r>
              <w:rPr>
                <w:rFonts w:ascii="Verdana" w:cs="Verdana" w:eastAsia="Verdana" w:hAnsi="Verdana"/>
                <w:sz w:val="18"/>
                <w:szCs w:val="18"/>
                <w:color w:val="13284B"/>
              </w:rPr>
              <w:t>0.0</w:t>
            </w:r>
          </w:p>
        </w:tc>
        <w:tc>
          <w:tcPr>
            <w:tcW w:w="1740" w:type="dxa"/>
            <w:vAlign w:val="bottom"/>
          </w:tcPr>
          <w:p>
            <w:pPr>
              <w:jc w:val="center"/>
              <w:spacing w:after="0"/>
              <w:rPr>
                <w:sz w:val="20"/>
                <w:szCs w:val="20"/>
                <w:color w:val="auto"/>
              </w:rPr>
            </w:pPr>
            <w:r>
              <w:rPr>
                <w:rFonts w:ascii="Verdana" w:cs="Verdana" w:eastAsia="Verdana" w:hAnsi="Verdana"/>
                <w:sz w:val="18"/>
                <w:szCs w:val="18"/>
                <w:color w:val="13284B"/>
              </w:rPr>
              <w:t>9.0</w:t>
            </w:r>
          </w:p>
        </w:tc>
        <w:tc>
          <w:tcPr>
            <w:tcW w:w="1680" w:type="dxa"/>
            <w:vAlign w:val="bottom"/>
          </w:tcPr>
          <w:p>
            <w:pPr>
              <w:jc w:val="center"/>
              <w:ind w:left="10"/>
              <w:spacing w:after="0"/>
              <w:rPr>
                <w:sz w:val="20"/>
                <w:szCs w:val="20"/>
                <w:color w:val="auto"/>
              </w:rPr>
            </w:pPr>
            <w:r>
              <w:rPr>
                <w:rFonts w:ascii="Verdana" w:cs="Verdana" w:eastAsia="Verdana" w:hAnsi="Verdana"/>
                <w:sz w:val="18"/>
                <w:szCs w:val="18"/>
                <w:color w:val="13284B"/>
              </w:rPr>
              <w:t>(9.0)</w:t>
            </w:r>
          </w:p>
        </w:tc>
        <w:tc>
          <w:tcPr>
            <w:tcW w:w="20" w:type="dxa"/>
            <w:vAlign w:val="bottom"/>
          </w:tcPr>
          <w:p>
            <w:pPr>
              <w:spacing w:after="0"/>
              <w:rPr>
                <w:sz w:val="22"/>
                <w:szCs w:val="22"/>
                <w:color w:val="auto"/>
              </w:rPr>
            </w:pPr>
          </w:p>
        </w:tc>
      </w:tr>
      <w:tr>
        <w:trPr>
          <w:trHeight w:val="256"/>
        </w:trPr>
        <w:tc>
          <w:tcPr>
            <w:tcW w:w="5940" w:type="dxa"/>
            <w:vAlign w:val="bottom"/>
          </w:tcPr>
          <w:p>
            <w:pPr>
              <w:ind w:left="40"/>
              <w:spacing w:after="0"/>
              <w:rPr>
                <w:sz w:val="20"/>
                <w:szCs w:val="20"/>
                <w:color w:val="auto"/>
              </w:rPr>
            </w:pPr>
            <w:r>
              <w:rPr>
                <w:rFonts w:ascii="Verdana" w:cs="Verdana" w:eastAsia="Verdana" w:hAnsi="Verdana"/>
                <w:sz w:val="18"/>
                <w:szCs w:val="18"/>
                <w:color w:val="auto"/>
              </w:rPr>
              <w:t>of which available cash and cash equivalents</w:t>
            </w:r>
          </w:p>
        </w:tc>
        <w:tc>
          <w:tcPr>
            <w:tcW w:w="1880" w:type="dxa"/>
            <w:vAlign w:val="bottom"/>
          </w:tcPr>
          <w:p>
            <w:pPr>
              <w:jc w:val="center"/>
              <w:ind w:left="110"/>
              <w:spacing w:after="0"/>
              <w:rPr>
                <w:sz w:val="20"/>
                <w:szCs w:val="20"/>
                <w:color w:val="auto"/>
              </w:rPr>
            </w:pPr>
            <w:r>
              <w:rPr>
                <w:rFonts w:ascii="Verdana" w:cs="Verdana" w:eastAsia="Verdana" w:hAnsi="Verdana"/>
                <w:sz w:val="18"/>
                <w:szCs w:val="18"/>
                <w:color w:val="13284B"/>
                <w:w w:val="99"/>
              </w:rPr>
              <w:t>144.2</w:t>
            </w:r>
          </w:p>
        </w:tc>
        <w:tc>
          <w:tcPr>
            <w:tcW w:w="1740" w:type="dxa"/>
            <w:vAlign w:val="bottom"/>
          </w:tcPr>
          <w:p>
            <w:pPr>
              <w:jc w:val="center"/>
              <w:ind w:right="10"/>
              <w:spacing w:after="0"/>
              <w:rPr>
                <w:sz w:val="20"/>
                <w:szCs w:val="20"/>
                <w:color w:val="auto"/>
              </w:rPr>
            </w:pPr>
            <w:r>
              <w:rPr>
                <w:rFonts w:ascii="Verdana" w:cs="Verdana" w:eastAsia="Verdana" w:hAnsi="Verdana"/>
                <w:sz w:val="18"/>
                <w:szCs w:val="18"/>
                <w:color w:val="13284B"/>
                <w:w w:val="99"/>
              </w:rPr>
              <w:t>251.9</w:t>
            </w:r>
          </w:p>
        </w:tc>
        <w:tc>
          <w:tcPr>
            <w:tcW w:w="1680" w:type="dxa"/>
            <w:vAlign w:val="bottom"/>
          </w:tcPr>
          <w:p>
            <w:pPr>
              <w:jc w:val="center"/>
              <w:ind w:left="30"/>
              <w:spacing w:after="0"/>
              <w:rPr>
                <w:sz w:val="20"/>
                <w:szCs w:val="20"/>
                <w:color w:val="auto"/>
              </w:rPr>
            </w:pPr>
            <w:r>
              <w:rPr>
                <w:rFonts w:ascii="Verdana" w:cs="Verdana" w:eastAsia="Verdana" w:hAnsi="Verdana"/>
                <w:sz w:val="18"/>
                <w:szCs w:val="18"/>
                <w:color w:val="13284B"/>
                <w:w w:val="98"/>
              </w:rPr>
              <w:t>(107.7)</w:t>
            </w:r>
          </w:p>
        </w:tc>
        <w:tc>
          <w:tcPr>
            <w:tcW w:w="20" w:type="dxa"/>
            <w:vAlign w:val="bottom"/>
          </w:tcPr>
          <w:p>
            <w:pPr>
              <w:spacing w:after="0"/>
              <w:rPr>
                <w:sz w:val="22"/>
                <w:szCs w:val="22"/>
                <w:color w:val="auto"/>
              </w:rPr>
            </w:pPr>
          </w:p>
        </w:tc>
      </w:tr>
      <w:tr>
        <w:trPr>
          <w:trHeight w:val="263"/>
        </w:trPr>
        <w:tc>
          <w:tcPr>
            <w:tcW w:w="5940" w:type="dxa"/>
            <w:vAlign w:val="bottom"/>
          </w:tcPr>
          <w:p>
            <w:pPr>
              <w:ind w:left="40"/>
              <w:spacing w:after="0"/>
              <w:rPr>
                <w:sz w:val="20"/>
                <w:szCs w:val="20"/>
                <w:color w:val="auto"/>
              </w:rPr>
            </w:pPr>
            <w:r>
              <w:rPr>
                <w:rFonts w:ascii="Verdana" w:cs="Verdana" w:eastAsia="Verdana" w:hAnsi="Verdana"/>
                <w:sz w:val="18"/>
                <w:szCs w:val="18"/>
                <w:color w:val="auto"/>
              </w:rPr>
              <w:t>(of which financial liabilities)**</w:t>
            </w:r>
          </w:p>
        </w:tc>
        <w:tc>
          <w:tcPr>
            <w:tcW w:w="1880" w:type="dxa"/>
            <w:vAlign w:val="bottom"/>
          </w:tcPr>
          <w:p>
            <w:pPr>
              <w:jc w:val="center"/>
              <w:ind w:left="110"/>
              <w:spacing w:after="0"/>
              <w:rPr>
                <w:sz w:val="20"/>
                <w:szCs w:val="20"/>
                <w:color w:val="auto"/>
              </w:rPr>
            </w:pPr>
            <w:r>
              <w:rPr>
                <w:rFonts w:ascii="Verdana" w:cs="Verdana" w:eastAsia="Verdana" w:hAnsi="Verdana"/>
                <w:sz w:val="18"/>
                <w:szCs w:val="18"/>
                <w:color w:val="13284B"/>
                <w:w w:val="98"/>
              </w:rPr>
              <w:t>(114.0)</w:t>
            </w:r>
          </w:p>
        </w:tc>
        <w:tc>
          <w:tcPr>
            <w:tcW w:w="1740" w:type="dxa"/>
            <w:vAlign w:val="bottom"/>
          </w:tcPr>
          <w:p>
            <w:pPr>
              <w:jc w:val="center"/>
              <w:spacing w:after="0"/>
              <w:rPr>
                <w:sz w:val="20"/>
                <w:szCs w:val="20"/>
                <w:color w:val="auto"/>
              </w:rPr>
            </w:pPr>
            <w:r>
              <w:rPr>
                <w:rFonts w:ascii="Verdana" w:cs="Verdana" w:eastAsia="Verdana" w:hAnsi="Verdana"/>
                <w:sz w:val="18"/>
                <w:szCs w:val="18"/>
                <w:color w:val="13284B"/>
              </w:rPr>
              <w:t>(77.0)</w:t>
            </w:r>
          </w:p>
        </w:tc>
        <w:tc>
          <w:tcPr>
            <w:tcW w:w="1680" w:type="dxa"/>
            <w:vAlign w:val="bottom"/>
          </w:tcPr>
          <w:p>
            <w:pPr>
              <w:jc w:val="center"/>
              <w:ind w:left="30"/>
              <w:spacing w:after="0"/>
              <w:rPr>
                <w:sz w:val="20"/>
                <w:szCs w:val="20"/>
                <w:color w:val="auto"/>
              </w:rPr>
            </w:pPr>
            <w:r>
              <w:rPr>
                <w:rFonts w:ascii="Verdana" w:cs="Verdana" w:eastAsia="Verdana" w:hAnsi="Verdana"/>
                <w:sz w:val="18"/>
                <w:szCs w:val="18"/>
                <w:color w:val="13284B"/>
              </w:rPr>
              <w:t>(37)</w:t>
            </w:r>
          </w:p>
        </w:tc>
        <w:tc>
          <w:tcPr>
            <w:tcW w:w="20" w:type="dxa"/>
            <w:vAlign w:val="bottom"/>
          </w:tcPr>
          <w:p>
            <w:pPr>
              <w:spacing w:after="0"/>
              <w:rPr>
                <w:sz w:val="22"/>
                <w:szCs w:val="22"/>
                <w:color w:val="auto"/>
              </w:rPr>
            </w:pPr>
          </w:p>
        </w:tc>
      </w:tr>
      <w:tr>
        <w:trPr>
          <w:trHeight w:val="263"/>
        </w:trPr>
        <w:tc>
          <w:tcPr>
            <w:tcW w:w="5940" w:type="dxa"/>
            <w:vAlign w:val="bottom"/>
            <w:tcBorders>
              <w:left w:val="single" w:sz="8" w:color="614DD2"/>
            </w:tcBorders>
            <w:shd w:val="clear" w:color="auto" w:fill="614DD2"/>
          </w:tcPr>
          <w:p>
            <w:pPr>
              <w:ind w:left="40"/>
              <w:spacing w:after="0"/>
              <w:rPr>
                <w:sz w:val="20"/>
                <w:szCs w:val="20"/>
                <w:color w:val="auto"/>
              </w:rPr>
            </w:pPr>
            <w:r>
              <w:rPr>
                <w:rFonts w:ascii="Verdana" w:cs="Verdana" w:eastAsia="Verdana" w:hAnsi="Verdana"/>
                <w:sz w:val="18"/>
                <w:szCs w:val="18"/>
                <w:b w:val="1"/>
                <w:bCs w:val="1"/>
                <w:color w:val="FFFFFF"/>
              </w:rPr>
              <w:t>Total Assets</w:t>
            </w:r>
          </w:p>
        </w:tc>
        <w:tc>
          <w:tcPr>
            <w:tcW w:w="1880" w:type="dxa"/>
            <w:vAlign w:val="bottom"/>
            <w:shd w:val="clear" w:color="auto" w:fill="614DD2"/>
          </w:tcPr>
          <w:p>
            <w:pPr>
              <w:jc w:val="center"/>
              <w:ind w:left="90"/>
              <w:spacing w:after="0"/>
              <w:rPr>
                <w:sz w:val="20"/>
                <w:szCs w:val="20"/>
                <w:color w:val="auto"/>
              </w:rPr>
            </w:pPr>
            <w:r>
              <w:rPr>
                <w:rFonts w:ascii="Verdana" w:cs="Verdana" w:eastAsia="Verdana" w:hAnsi="Verdana"/>
                <w:sz w:val="18"/>
                <w:szCs w:val="18"/>
                <w:b w:val="1"/>
                <w:bCs w:val="1"/>
                <w:color w:val="FFFFFF"/>
              </w:rPr>
              <w:t>205.2</w:t>
            </w:r>
          </w:p>
        </w:tc>
        <w:tc>
          <w:tcPr>
            <w:tcW w:w="1740" w:type="dxa"/>
            <w:vAlign w:val="bottom"/>
            <w:shd w:val="clear" w:color="auto" w:fill="614DD2"/>
          </w:tcPr>
          <w:p>
            <w:pPr>
              <w:jc w:val="center"/>
              <w:spacing w:after="0"/>
              <w:rPr>
                <w:sz w:val="20"/>
                <w:szCs w:val="20"/>
                <w:color w:val="auto"/>
              </w:rPr>
            </w:pPr>
            <w:r>
              <w:rPr>
                <w:rFonts w:ascii="Verdana" w:cs="Verdana" w:eastAsia="Verdana" w:hAnsi="Verdana"/>
                <w:sz w:val="18"/>
                <w:szCs w:val="18"/>
                <w:b w:val="1"/>
                <w:bCs w:val="1"/>
                <w:color w:val="FFFFFF"/>
              </w:rPr>
              <w:t>327.1</w:t>
            </w:r>
          </w:p>
        </w:tc>
        <w:tc>
          <w:tcPr>
            <w:tcW w:w="1680" w:type="dxa"/>
            <w:vAlign w:val="bottom"/>
            <w:shd w:val="clear" w:color="auto" w:fill="614DD2"/>
          </w:tcPr>
          <w:p>
            <w:pPr>
              <w:jc w:val="center"/>
              <w:ind w:left="30"/>
              <w:spacing w:after="0"/>
              <w:rPr>
                <w:sz w:val="20"/>
                <w:szCs w:val="20"/>
                <w:color w:val="auto"/>
              </w:rPr>
            </w:pPr>
            <w:r>
              <w:rPr>
                <w:rFonts w:ascii="Verdana" w:cs="Verdana" w:eastAsia="Verdana" w:hAnsi="Verdana"/>
                <w:sz w:val="18"/>
                <w:szCs w:val="18"/>
                <w:b w:val="1"/>
                <w:bCs w:val="1"/>
                <w:color w:val="FFFFFF"/>
                <w:w w:val="98"/>
              </w:rPr>
              <w:t>(121.9)</w:t>
            </w:r>
          </w:p>
        </w:tc>
        <w:tc>
          <w:tcPr>
            <w:tcW w:w="20" w:type="dxa"/>
            <w:vAlign w:val="bottom"/>
          </w:tcPr>
          <w:p>
            <w:pPr>
              <w:spacing w:after="0"/>
              <w:rPr>
                <w:sz w:val="22"/>
                <w:szCs w:val="22"/>
                <w:color w:val="auto"/>
              </w:rPr>
            </w:pPr>
          </w:p>
        </w:tc>
      </w:tr>
      <w:tr>
        <w:trPr>
          <w:trHeight w:val="54"/>
        </w:trPr>
        <w:tc>
          <w:tcPr>
            <w:tcW w:w="59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5940" w:type="dxa"/>
            <w:vAlign w:val="bottom"/>
            <w:tcBorders>
              <w:left w:val="single" w:sz="8" w:color="614DD2"/>
            </w:tcBorders>
            <w:shd w:val="clear" w:color="auto" w:fill="614DD2"/>
          </w:tcPr>
          <w:p>
            <w:pPr>
              <w:ind w:left="40"/>
              <w:spacing w:after="0"/>
              <w:rPr>
                <w:sz w:val="20"/>
                <w:szCs w:val="20"/>
                <w:color w:val="auto"/>
              </w:rPr>
            </w:pPr>
            <w:r>
              <w:rPr>
                <w:rFonts w:ascii="Verdana" w:cs="Verdana" w:eastAsia="Verdana" w:hAnsi="Verdana"/>
                <w:sz w:val="18"/>
                <w:szCs w:val="18"/>
                <w:b w:val="1"/>
                <w:bCs w:val="1"/>
                <w:color w:val="FFFFFF"/>
              </w:rPr>
              <w:t>Total Shareholders’ Equity</w:t>
            </w:r>
          </w:p>
        </w:tc>
        <w:tc>
          <w:tcPr>
            <w:tcW w:w="1880" w:type="dxa"/>
            <w:vAlign w:val="bottom"/>
            <w:shd w:val="clear" w:color="auto" w:fill="614DD2"/>
          </w:tcPr>
          <w:p>
            <w:pPr>
              <w:jc w:val="center"/>
              <w:ind w:left="90"/>
              <w:spacing w:after="0"/>
              <w:rPr>
                <w:sz w:val="20"/>
                <w:szCs w:val="20"/>
                <w:color w:val="auto"/>
              </w:rPr>
            </w:pPr>
            <w:r>
              <w:rPr>
                <w:rFonts w:ascii="Verdana" w:cs="Verdana" w:eastAsia="Verdana" w:hAnsi="Verdana"/>
                <w:sz w:val="18"/>
                <w:szCs w:val="18"/>
                <w:b w:val="1"/>
                <w:bCs w:val="1"/>
                <w:color w:val="FFFFFF"/>
              </w:rPr>
              <w:t>40.6</w:t>
            </w:r>
          </w:p>
        </w:tc>
        <w:tc>
          <w:tcPr>
            <w:tcW w:w="1740" w:type="dxa"/>
            <w:vAlign w:val="bottom"/>
            <w:shd w:val="clear" w:color="auto" w:fill="614DD2"/>
          </w:tcPr>
          <w:p>
            <w:pPr>
              <w:jc w:val="center"/>
              <w:spacing w:after="0"/>
              <w:rPr>
                <w:sz w:val="20"/>
                <w:szCs w:val="20"/>
                <w:color w:val="auto"/>
              </w:rPr>
            </w:pPr>
            <w:r>
              <w:rPr>
                <w:rFonts w:ascii="Verdana" w:cs="Verdana" w:eastAsia="Verdana" w:hAnsi="Verdana"/>
                <w:sz w:val="18"/>
                <w:szCs w:val="18"/>
                <w:b w:val="1"/>
                <w:bCs w:val="1"/>
                <w:color w:val="FFFFFF"/>
              </w:rPr>
              <w:t>196.0</w:t>
            </w:r>
          </w:p>
        </w:tc>
        <w:tc>
          <w:tcPr>
            <w:tcW w:w="1680" w:type="dxa"/>
            <w:vAlign w:val="bottom"/>
            <w:shd w:val="clear" w:color="auto" w:fill="614DD2"/>
          </w:tcPr>
          <w:p>
            <w:pPr>
              <w:jc w:val="center"/>
              <w:ind w:left="30"/>
              <w:spacing w:after="0"/>
              <w:rPr>
                <w:sz w:val="20"/>
                <w:szCs w:val="20"/>
                <w:color w:val="auto"/>
              </w:rPr>
            </w:pPr>
            <w:r>
              <w:rPr>
                <w:rFonts w:ascii="Verdana" w:cs="Verdana" w:eastAsia="Verdana" w:hAnsi="Verdana"/>
                <w:sz w:val="18"/>
                <w:szCs w:val="18"/>
                <w:b w:val="1"/>
                <w:bCs w:val="1"/>
                <w:color w:val="FFFFFF"/>
                <w:w w:val="98"/>
              </w:rPr>
              <w:t>(155.4)</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-1704975</wp:posOffset>
            </wp:positionV>
            <wp:extent cx="7140575" cy="2322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322830"/>
                    </a:xfrm>
                    <a:prstGeom prst="rect">
                      <a:avLst/>
                    </a:prstGeom>
                    <a:noFill/>
                  </pic:spPr>
                </pic:pic>
              </a:graphicData>
            </a:graphic>
          </wp:anchor>
        </w:drawing>
      </w:r>
    </w:p>
    <w:p>
      <w:pPr>
        <w:ind w:left="40"/>
        <w:spacing w:after="0"/>
        <w:rPr>
          <w:sz w:val="20"/>
          <w:szCs w:val="20"/>
          <w:color w:val="auto"/>
        </w:rPr>
      </w:pPr>
      <w:r>
        <w:rPr>
          <w:rFonts w:ascii="Verdana" w:cs="Verdana" w:eastAsia="Verdana" w:hAnsi="Verdana"/>
          <w:sz w:val="18"/>
          <w:szCs w:val="18"/>
          <w:color w:val="614DD2"/>
        </w:rPr>
        <w:t>* Excluding items of the liquidity contract (liquidity and own shares) and prepaid expenses</w:t>
      </w:r>
    </w:p>
    <w:p>
      <w:pPr>
        <w:ind w:left="40" w:right="500"/>
        <w:spacing w:after="0" w:line="232" w:lineRule="auto"/>
        <w:rPr>
          <w:sz w:val="20"/>
          <w:szCs w:val="20"/>
          <w:color w:val="auto"/>
        </w:rPr>
      </w:pPr>
      <w:r>
        <w:rPr>
          <w:rFonts w:ascii="Verdana" w:cs="Verdana" w:eastAsia="Verdana" w:hAnsi="Verdana"/>
          <w:sz w:val="18"/>
          <w:szCs w:val="18"/>
          <w:color w:val="614DD2"/>
        </w:rPr>
        <w:t>** Financial liabilities include borrowings, convertible loan notes, derivative instruments, royalty certificates and other financial liabilities</w:t>
      </w:r>
    </w:p>
    <w:p>
      <w:pPr>
        <w:sectPr>
          <w:pgSz w:w="11900" w:h="16838" w:orient="portrait"/>
          <w:cols w:equalWidth="0" w:num="1">
            <w:col w:w="11260"/>
          </w:cols>
          <w:pgMar w:left="320" w:top="846" w:right="319" w:bottom="1440" w:gutter="0" w:footer="0" w:header="0"/>
        </w:sectPr>
      </w:pPr>
    </w:p>
    <w:bookmarkStart w:id="4" w:name="page5"/>
    <w:bookmarkEnd w:id="4"/>
    <w:p>
      <w:pPr>
        <w:ind w:left="10312"/>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32" w:hanging="332"/>
        <w:spacing w:after="0" w:line="233" w:lineRule="auto"/>
        <w:tabs>
          <w:tab w:leader="none" w:pos="320" w:val="left"/>
        </w:tabs>
        <w:numPr>
          <w:ilvl w:val="0"/>
          <w:numId w:val="4"/>
        </w:numPr>
        <w:rPr>
          <w:rFonts w:ascii="Arial" w:cs="Arial" w:eastAsia="Arial" w:hAnsi="Arial"/>
          <w:sz w:val="20"/>
          <w:szCs w:val="20"/>
          <w:color w:val="auto"/>
        </w:rPr>
      </w:pPr>
      <w:r>
        <w:rPr>
          <w:rFonts w:ascii="Verdana" w:cs="Verdana" w:eastAsia="Verdana" w:hAnsi="Verdana"/>
          <w:sz w:val="18"/>
          <w:szCs w:val="18"/>
          <w:color w:val="auto"/>
        </w:rPr>
        <w:t>Operating income increased by EUR 7.9M to EUR 12.5M in 2024 compared to EUR 4.6M from 2023. The increase was primarily driven by the following:</w:t>
      </w:r>
    </w:p>
    <w:p>
      <w:pPr>
        <w:spacing w:after="0" w:line="212" w:lineRule="exact"/>
        <w:rPr>
          <w:sz w:val="20"/>
          <w:szCs w:val="20"/>
          <w:color w:val="auto"/>
        </w:rPr>
      </w:pPr>
    </w:p>
    <w:p>
      <w:pPr>
        <w:ind w:left="992" w:hanging="344"/>
        <w:spacing w:after="0"/>
        <w:tabs>
          <w:tab w:leader="none" w:pos="992" w:val="left"/>
        </w:tabs>
        <w:numPr>
          <w:ilvl w:val="0"/>
          <w:numId w:val="5"/>
        </w:numPr>
        <w:rPr>
          <w:rFonts w:ascii="Verdana" w:cs="Verdana" w:eastAsia="Verdana" w:hAnsi="Verdana"/>
          <w:sz w:val="18"/>
          <w:szCs w:val="18"/>
          <w:color w:val="auto"/>
        </w:rPr>
      </w:pPr>
      <w:r>
        <w:rPr>
          <w:rFonts w:ascii="Verdana" w:cs="Verdana" w:eastAsia="Verdana" w:hAnsi="Verdana"/>
          <w:sz w:val="18"/>
          <w:szCs w:val="18"/>
          <w:color w:val="auto"/>
        </w:rPr>
        <w:t>EUR 2.2M of additional Research Tax Credits, out of which EUR 1.0M related to the 2021 tax year and the</w:t>
      </w:r>
    </w:p>
    <w:p>
      <w:pPr>
        <w:spacing w:after="0" w:line="24" w:lineRule="exact"/>
        <w:rPr>
          <w:sz w:val="20"/>
          <w:szCs w:val="20"/>
          <w:color w:val="auto"/>
        </w:rPr>
      </w:pPr>
    </w:p>
    <w:p>
      <w:pPr>
        <w:jc w:val="both"/>
        <w:ind w:left="972"/>
        <w:spacing w:after="0" w:line="233" w:lineRule="auto"/>
        <w:rPr>
          <w:sz w:val="20"/>
          <w:szCs w:val="20"/>
          <w:color w:val="auto"/>
        </w:rPr>
      </w:pPr>
      <w:r>
        <w:rPr>
          <w:rFonts w:ascii="Verdana" w:cs="Verdana" w:eastAsia="Verdana" w:hAnsi="Verdana"/>
          <w:sz w:val="18"/>
          <w:szCs w:val="18"/>
          <w:color w:val="auto"/>
        </w:rPr>
        <w:t>remaining amount related to the 2024 tax year. The increase in the 2024 tax credits was due to the net reimbursements of conditional advances made to Bpifrance in relation to the RNP-VIR and CARENA projects, following the termination of both projects.</w:t>
      </w:r>
    </w:p>
    <w:p>
      <w:pPr>
        <w:spacing w:after="0" w:line="213" w:lineRule="exact"/>
        <w:rPr>
          <w:sz w:val="20"/>
          <w:szCs w:val="20"/>
          <w:color w:val="auto"/>
        </w:rPr>
      </w:pPr>
    </w:p>
    <w:p>
      <w:pPr>
        <w:jc w:val="both"/>
        <w:ind w:left="972" w:hanging="324"/>
        <w:spacing w:after="0" w:line="253" w:lineRule="auto"/>
        <w:tabs>
          <w:tab w:leader="none" w:pos="968" w:val="left"/>
        </w:tabs>
        <w:numPr>
          <w:ilvl w:val="1"/>
          <w:numId w:val="6"/>
        </w:numPr>
        <w:rPr>
          <w:rFonts w:ascii="Verdana" w:cs="Verdana" w:eastAsia="Verdana" w:hAnsi="Verdana"/>
          <w:sz w:val="18"/>
          <w:szCs w:val="18"/>
          <w:color w:val="auto"/>
        </w:rPr>
      </w:pPr>
      <w:r>
        <w:rPr>
          <w:rFonts w:ascii="Verdana" w:cs="Verdana" w:eastAsia="Verdana" w:hAnsi="Verdana"/>
          <w:sz w:val="18"/>
          <w:szCs w:val="18"/>
          <w:color w:val="auto"/>
        </w:rPr>
        <w:t>Subsidies increased by a non-cash amount of EUR 4.1M, which was recognized following the termination of the RNP-VIR and CARENA conditional advances granted by Bpifrance. In connection with the termination, Bpifrance agreed to waive 60% of the remaining conditional advances and accrued interests.</w:t>
      </w:r>
    </w:p>
    <w:p>
      <w:pPr>
        <w:spacing w:after="0" w:line="212" w:lineRule="exact"/>
        <w:rPr>
          <w:rFonts w:ascii="Verdana" w:cs="Verdana" w:eastAsia="Verdana" w:hAnsi="Verdana"/>
          <w:sz w:val="18"/>
          <w:szCs w:val="18"/>
          <w:color w:val="auto"/>
        </w:rPr>
      </w:pPr>
    </w:p>
    <w:p>
      <w:pPr>
        <w:ind w:left="332" w:hanging="332"/>
        <w:spacing w:after="0" w:line="233" w:lineRule="auto"/>
        <w:tabs>
          <w:tab w:leader="none" w:pos="320" w:val="left"/>
        </w:tabs>
        <w:numPr>
          <w:ilvl w:val="0"/>
          <w:numId w:val="6"/>
        </w:numPr>
        <w:rPr>
          <w:rFonts w:ascii="Arial" w:cs="Arial" w:eastAsia="Arial" w:hAnsi="Arial"/>
          <w:sz w:val="20"/>
          <w:szCs w:val="20"/>
          <w:color w:val="auto"/>
        </w:rPr>
      </w:pPr>
      <w:r>
        <w:rPr>
          <w:rFonts w:ascii="Verdana" w:cs="Verdana" w:eastAsia="Verdana" w:hAnsi="Verdana"/>
          <w:sz w:val="18"/>
          <w:szCs w:val="18"/>
          <w:color w:val="auto"/>
        </w:rPr>
        <w:t>Research and development (R&amp;D) expenses increased by EUR 43.3M to EUR -146.5M in 2024 compared to EUR -103.2M in 2023. This increase was predominantly driven by increase in expenses related to:</w:t>
      </w:r>
    </w:p>
    <w:p>
      <w:pPr>
        <w:spacing w:after="0" w:line="196" w:lineRule="exact"/>
        <w:rPr>
          <w:rFonts w:ascii="Arial" w:cs="Arial" w:eastAsia="Arial" w:hAnsi="Arial"/>
          <w:sz w:val="20"/>
          <w:szCs w:val="20"/>
          <w:color w:val="auto"/>
        </w:rPr>
      </w:pPr>
    </w:p>
    <w:p>
      <w:pPr>
        <w:ind w:left="972" w:hanging="324"/>
        <w:spacing w:after="0"/>
        <w:tabs>
          <w:tab w:leader="none" w:pos="972" w:val="left"/>
        </w:tabs>
        <w:numPr>
          <w:ilvl w:val="1"/>
          <w:numId w:val="6"/>
        </w:numPr>
        <w:rPr>
          <w:rFonts w:ascii="Verdana" w:cs="Verdana" w:eastAsia="Verdana" w:hAnsi="Verdana"/>
          <w:sz w:val="18"/>
          <w:szCs w:val="18"/>
          <w:color w:val="auto"/>
        </w:rPr>
      </w:pPr>
      <w:r>
        <w:rPr>
          <w:rFonts w:ascii="Verdana" w:cs="Verdana" w:eastAsia="Verdana" w:hAnsi="Verdana"/>
          <w:sz w:val="18"/>
          <w:szCs w:val="18"/>
          <w:color w:val="auto"/>
        </w:rPr>
        <w:t>Our UC clinical program, driven by the progression of Phase 3 clinical trials for obefazimod in UC;</w:t>
      </w:r>
    </w:p>
    <w:p>
      <w:pPr>
        <w:ind w:left="972" w:hanging="324"/>
        <w:spacing w:after="0" w:line="222" w:lineRule="auto"/>
        <w:tabs>
          <w:tab w:leader="none" w:pos="968" w:val="left"/>
        </w:tabs>
        <w:numPr>
          <w:ilvl w:val="1"/>
          <w:numId w:val="6"/>
        </w:numPr>
        <w:rPr>
          <w:rFonts w:ascii="Verdana" w:cs="Verdana" w:eastAsia="Verdana" w:hAnsi="Verdana"/>
          <w:sz w:val="18"/>
          <w:szCs w:val="18"/>
          <w:color w:val="auto"/>
        </w:rPr>
      </w:pPr>
      <w:r>
        <w:rPr>
          <w:rFonts w:ascii="Verdana" w:cs="Verdana" w:eastAsia="Verdana" w:hAnsi="Verdana"/>
          <w:sz w:val="18"/>
          <w:szCs w:val="18"/>
          <w:color w:val="auto"/>
        </w:rPr>
        <w:t>A EUR 4.6M increase in expenses related to our Crohn’s disease (CD) clinical program, driven by planning costs incurred for and progression of the Phase 2b CD trial; and</w:t>
      </w:r>
    </w:p>
    <w:p>
      <w:pPr>
        <w:jc w:val="both"/>
        <w:ind w:left="972" w:hanging="324"/>
        <w:spacing w:after="0" w:line="233" w:lineRule="auto"/>
        <w:tabs>
          <w:tab w:leader="none" w:pos="982" w:val="left"/>
        </w:tabs>
        <w:numPr>
          <w:ilvl w:val="1"/>
          <w:numId w:val="6"/>
        </w:numPr>
        <w:rPr>
          <w:rFonts w:ascii="Verdana" w:cs="Verdana" w:eastAsia="Verdana" w:hAnsi="Verdana"/>
          <w:sz w:val="18"/>
          <w:szCs w:val="18"/>
          <w:color w:val="auto"/>
        </w:rPr>
      </w:pPr>
      <w:r>
        <w:rPr>
          <w:rFonts w:ascii="Verdana" w:cs="Verdana" w:eastAsia="Verdana" w:hAnsi="Verdana"/>
          <w:sz w:val="18"/>
          <w:szCs w:val="18"/>
          <w:color w:val="auto"/>
        </w:rPr>
        <w:t>A EUR 8.2M, or 76%, increase related to the overall expansion of the research and development headcount to support our organizational growth and the issuance of new equity awards to officers and employees in research and development.</w:t>
      </w:r>
    </w:p>
    <w:p>
      <w:pPr>
        <w:spacing w:after="0" w:line="226" w:lineRule="exact"/>
        <w:rPr>
          <w:rFonts w:ascii="Verdana" w:cs="Verdana" w:eastAsia="Verdana" w:hAnsi="Verdana"/>
          <w:sz w:val="18"/>
          <w:szCs w:val="18"/>
          <w:color w:val="auto"/>
        </w:rPr>
      </w:pPr>
    </w:p>
    <w:p>
      <w:pPr>
        <w:ind w:left="312" w:hanging="312"/>
        <w:spacing w:after="0"/>
        <w:tabs>
          <w:tab w:leader="none" w:pos="312" w:val="left"/>
        </w:tabs>
        <w:numPr>
          <w:ilvl w:val="0"/>
          <w:numId w:val="6"/>
        </w:numPr>
        <w:rPr>
          <w:rFonts w:ascii="Arial" w:cs="Arial" w:eastAsia="Arial" w:hAnsi="Arial"/>
          <w:sz w:val="20"/>
          <w:szCs w:val="20"/>
          <w:color w:val="auto"/>
        </w:rPr>
      </w:pPr>
      <w:r>
        <w:rPr>
          <w:rFonts w:ascii="Verdana" w:cs="Verdana" w:eastAsia="Verdana" w:hAnsi="Verdana"/>
          <w:sz w:val="18"/>
          <w:szCs w:val="18"/>
          <w:color w:val="auto"/>
        </w:rPr>
        <w:t>Sales and marketing (S&amp;M) expenses remained relatively consistent between 2024 and 2023.</w:t>
      </w:r>
    </w:p>
    <w:p>
      <w:pPr>
        <w:spacing w:after="0" w:line="229" w:lineRule="exact"/>
        <w:rPr>
          <w:rFonts w:ascii="Arial" w:cs="Arial" w:eastAsia="Arial" w:hAnsi="Arial"/>
          <w:sz w:val="20"/>
          <w:szCs w:val="20"/>
          <w:color w:val="auto"/>
        </w:rPr>
      </w:pPr>
    </w:p>
    <w:p>
      <w:pPr>
        <w:jc w:val="both"/>
        <w:ind w:left="332" w:hanging="332"/>
        <w:spacing w:after="0" w:line="228" w:lineRule="auto"/>
        <w:tabs>
          <w:tab w:leader="none" w:pos="320" w:val="left"/>
        </w:tabs>
        <w:numPr>
          <w:ilvl w:val="0"/>
          <w:numId w:val="6"/>
        </w:numPr>
        <w:rPr>
          <w:rFonts w:ascii="Arial" w:cs="Arial" w:eastAsia="Arial" w:hAnsi="Arial"/>
          <w:sz w:val="20"/>
          <w:szCs w:val="20"/>
          <w:color w:val="auto"/>
        </w:rPr>
      </w:pPr>
      <w:r>
        <w:rPr>
          <w:rFonts w:ascii="Verdana" w:cs="Verdana" w:eastAsia="Verdana" w:hAnsi="Verdana"/>
          <w:sz w:val="18"/>
          <w:szCs w:val="18"/>
          <w:color w:val="auto"/>
        </w:rPr>
        <w:t>General and administrative (G&amp;A) expenses increased by EUR 10.5M to -32.9M compared to EUR -22.4M for 2023. This increase was primarily driven by the full year impact of the build out of our G&amp;A organization (increased headcount and equity-based compensation costs) which started in late 2023 to support the expansion of the Company, as well as increased legal and professional fees and other costs associated with operating as a dual-listed public company.</w:t>
      </w:r>
    </w:p>
    <w:p>
      <w:pPr>
        <w:spacing w:after="0" w:line="224" w:lineRule="exact"/>
        <w:rPr>
          <w:rFonts w:ascii="Arial" w:cs="Arial" w:eastAsia="Arial" w:hAnsi="Arial"/>
          <w:sz w:val="20"/>
          <w:szCs w:val="20"/>
          <w:color w:val="auto"/>
        </w:rPr>
      </w:pPr>
    </w:p>
    <w:p>
      <w:pPr>
        <w:ind w:left="312" w:hanging="312"/>
        <w:spacing w:after="0"/>
        <w:tabs>
          <w:tab w:leader="none" w:pos="312" w:val="left"/>
        </w:tabs>
        <w:numPr>
          <w:ilvl w:val="0"/>
          <w:numId w:val="6"/>
        </w:numPr>
        <w:rPr>
          <w:rFonts w:ascii="Arial" w:cs="Arial" w:eastAsia="Arial" w:hAnsi="Arial"/>
          <w:sz w:val="20"/>
          <w:szCs w:val="20"/>
          <w:color w:val="auto"/>
        </w:rPr>
      </w:pPr>
      <w:r>
        <w:rPr>
          <w:rFonts w:ascii="Verdana" w:cs="Verdana" w:eastAsia="Verdana" w:hAnsi="Verdana"/>
          <w:sz w:val="18"/>
          <w:szCs w:val="18"/>
          <w:color w:val="auto"/>
        </w:rPr>
        <w:t>Total number of employees as of December 31, 2024 was 69 compared to 61 as of December 31, 2023.</w:t>
      </w:r>
    </w:p>
    <w:p>
      <w:pPr>
        <w:spacing w:after="0" w:line="242" w:lineRule="exact"/>
        <w:rPr>
          <w:rFonts w:ascii="Arial" w:cs="Arial" w:eastAsia="Arial" w:hAnsi="Arial"/>
          <w:sz w:val="20"/>
          <w:szCs w:val="20"/>
          <w:color w:val="auto"/>
        </w:rPr>
      </w:pPr>
    </w:p>
    <w:p>
      <w:pPr>
        <w:ind w:left="332" w:hanging="332"/>
        <w:spacing w:after="0" w:line="233" w:lineRule="auto"/>
        <w:tabs>
          <w:tab w:leader="none" w:pos="320" w:val="left"/>
        </w:tabs>
        <w:numPr>
          <w:ilvl w:val="0"/>
          <w:numId w:val="6"/>
        </w:numPr>
        <w:rPr>
          <w:rFonts w:ascii="Arial" w:cs="Arial" w:eastAsia="Arial" w:hAnsi="Arial"/>
          <w:sz w:val="20"/>
          <w:szCs w:val="20"/>
          <w:color w:val="auto"/>
        </w:rPr>
      </w:pPr>
      <w:r>
        <w:rPr>
          <w:rFonts w:ascii="Verdana" w:cs="Verdana" w:eastAsia="Verdana" w:hAnsi="Verdana"/>
          <w:sz w:val="18"/>
          <w:szCs w:val="18"/>
          <w:color w:val="auto"/>
        </w:rPr>
        <w:t>For the year ended December 31, 2024, the Company’s EUR -3.3M net financial loss was driven primarily by the following items:</w:t>
      </w:r>
    </w:p>
    <w:p>
      <w:pPr>
        <w:spacing w:after="0" w:line="196" w:lineRule="exact"/>
        <w:rPr>
          <w:rFonts w:ascii="Arial" w:cs="Arial" w:eastAsia="Arial" w:hAnsi="Arial"/>
          <w:sz w:val="20"/>
          <w:szCs w:val="20"/>
          <w:color w:val="auto"/>
        </w:rPr>
      </w:pPr>
    </w:p>
    <w:p>
      <w:pPr>
        <w:ind w:left="972" w:hanging="324"/>
        <w:spacing w:after="0"/>
        <w:tabs>
          <w:tab w:leader="none" w:pos="972" w:val="left"/>
        </w:tabs>
        <w:numPr>
          <w:ilvl w:val="1"/>
          <w:numId w:val="6"/>
        </w:numPr>
        <w:rPr>
          <w:rFonts w:ascii="Verdana" w:cs="Verdana" w:eastAsia="Verdana" w:hAnsi="Verdana"/>
          <w:sz w:val="18"/>
          <w:szCs w:val="18"/>
          <w:color w:val="auto"/>
        </w:rPr>
      </w:pPr>
      <w:r>
        <w:rPr>
          <w:rFonts w:ascii="Verdana" w:cs="Verdana" w:eastAsia="Verdana" w:hAnsi="Verdana"/>
          <w:sz w:val="18"/>
          <w:szCs w:val="18"/>
          <w:color w:val="auto"/>
        </w:rPr>
        <w:t>Interest expenses of EUR -11.6M relating to borrowings and loans;</w:t>
      </w:r>
    </w:p>
    <w:p>
      <w:pPr>
        <w:ind w:left="972" w:hanging="324"/>
        <w:spacing w:after="0" w:line="222" w:lineRule="auto"/>
        <w:tabs>
          <w:tab w:leader="none" w:pos="972" w:val="left"/>
        </w:tabs>
        <w:numPr>
          <w:ilvl w:val="1"/>
          <w:numId w:val="6"/>
        </w:numPr>
        <w:rPr>
          <w:rFonts w:ascii="Verdana" w:cs="Verdana" w:eastAsia="Verdana" w:hAnsi="Verdana"/>
          <w:sz w:val="18"/>
          <w:szCs w:val="18"/>
          <w:color w:val="auto"/>
        </w:rPr>
      </w:pPr>
      <w:r>
        <w:rPr>
          <w:rFonts w:ascii="Verdana" w:cs="Verdana" w:eastAsia="Verdana" w:hAnsi="Verdana"/>
          <w:sz w:val="18"/>
          <w:szCs w:val="18"/>
          <w:color w:val="auto"/>
        </w:rPr>
        <w:t>Non-cash expense of EUR -0.8M in relation to the fair value of the Company’s royalty certificates;</w:t>
      </w:r>
    </w:p>
    <w:p>
      <w:pPr>
        <w:ind w:left="972" w:hanging="324"/>
        <w:spacing w:after="0" w:line="222" w:lineRule="auto"/>
        <w:tabs>
          <w:tab w:leader="none" w:pos="972" w:val="left"/>
        </w:tabs>
        <w:numPr>
          <w:ilvl w:val="1"/>
          <w:numId w:val="6"/>
        </w:numPr>
        <w:rPr>
          <w:rFonts w:ascii="Verdana" w:cs="Verdana" w:eastAsia="Verdana" w:hAnsi="Verdana"/>
          <w:sz w:val="18"/>
          <w:szCs w:val="18"/>
          <w:color w:val="auto"/>
        </w:rPr>
      </w:pPr>
      <w:r>
        <w:rPr>
          <w:rFonts w:ascii="Verdana" w:cs="Verdana" w:eastAsia="Verdana" w:hAnsi="Verdana"/>
          <w:sz w:val="18"/>
          <w:szCs w:val="18"/>
          <w:color w:val="auto"/>
        </w:rPr>
        <w:t>Non-cash expense of EUR -1.4M in relation to an increase in the fair value of the Heights convertible notes;</w:t>
      </w:r>
    </w:p>
    <w:p>
      <w:pPr>
        <w:ind w:left="972" w:hanging="324"/>
        <w:spacing w:after="0" w:line="239" w:lineRule="auto"/>
        <w:tabs>
          <w:tab w:leader="none" w:pos="968" w:val="left"/>
        </w:tabs>
        <w:numPr>
          <w:ilvl w:val="1"/>
          <w:numId w:val="6"/>
        </w:numPr>
        <w:rPr>
          <w:rFonts w:ascii="Verdana" w:cs="Verdana" w:eastAsia="Verdana" w:hAnsi="Verdana"/>
          <w:sz w:val="18"/>
          <w:szCs w:val="18"/>
          <w:color w:val="auto"/>
        </w:rPr>
      </w:pPr>
      <w:r>
        <w:rPr>
          <w:rFonts w:ascii="Verdana" w:cs="Verdana" w:eastAsia="Verdana" w:hAnsi="Verdana"/>
          <w:sz w:val="18"/>
          <w:szCs w:val="18"/>
          <w:color w:val="auto"/>
        </w:rPr>
        <w:t>Non-cash expense of EUR -1.5M in relation to an increase in the fair value of the Kreos / Claret share warrants (“BSA”); and</w:t>
      </w:r>
    </w:p>
    <w:p>
      <w:pPr>
        <w:sectPr>
          <w:pgSz w:w="11900" w:h="16838" w:orient="portrait"/>
          <w:cols w:equalWidth="0" w:num="1">
            <w:col w:w="11232"/>
          </w:cols>
          <w:pgMar w:left="328" w:top="84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64" w:lineRule="exact"/>
        <w:rPr>
          <w:sz w:val="20"/>
          <w:szCs w:val="20"/>
          <w:color w:val="auto"/>
        </w:rPr>
      </w:pPr>
    </w:p>
    <w:p>
      <w:pPr>
        <w:ind w:left="980" w:hanging="324"/>
        <w:spacing w:after="0" w:line="222" w:lineRule="auto"/>
        <w:tabs>
          <w:tab w:leader="none" w:pos="1017" w:val="left"/>
        </w:tabs>
        <w:numPr>
          <w:ilvl w:val="1"/>
          <w:numId w:val="7"/>
        </w:numPr>
        <w:rPr>
          <w:rFonts w:ascii="Verdana" w:cs="Verdana" w:eastAsia="Verdana" w:hAnsi="Verdana"/>
          <w:sz w:val="18"/>
          <w:szCs w:val="18"/>
          <w:color w:val="auto"/>
        </w:rPr>
      </w:pPr>
      <w:r>
        <w:rPr>
          <w:rFonts w:ascii="Verdana" w:cs="Verdana" w:eastAsia="Verdana" w:hAnsi="Verdana"/>
          <w:sz w:val="18"/>
          <w:szCs w:val="18"/>
          <w:color w:val="auto"/>
        </w:rPr>
        <w:t>Transaction costs amounting to EUR 1.6M in connection with the drawdowns of Tranches B and C of the Kreos/Claret financing;</w:t>
      </w:r>
    </w:p>
    <w:p>
      <w:pPr>
        <w:jc w:val="both"/>
        <w:ind w:left="980" w:hanging="324"/>
        <w:spacing w:after="0" w:line="231" w:lineRule="auto"/>
        <w:tabs>
          <w:tab w:leader="none" w:pos="990" w:val="left"/>
        </w:tabs>
        <w:numPr>
          <w:ilvl w:val="1"/>
          <w:numId w:val="7"/>
        </w:numPr>
        <w:rPr>
          <w:rFonts w:ascii="Verdana" w:cs="Verdana" w:eastAsia="Verdana" w:hAnsi="Verdana"/>
          <w:sz w:val="18"/>
          <w:szCs w:val="18"/>
          <w:color w:val="auto"/>
        </w:rPr>
      </w:pPr>
      <w:r>
        <w:rPr>
          <w:rFonts w:ascii="Verdana" w:cs="Verdana" w:eastAsia="Verdana" w:hAnsi="Verdana"/>
          <w:sz w:val="18"/>
          <w:szCs w:val="18"/>
          <w:color w:val="auto"/>
        </w:rPr>
        <w:t>Partially offset by interest income of EUR 8.2M in relation to the invested proceeds from the Company’s U.S. initial public offering and listing on Nasdaq and concurrent global private offering, and foreign exchange gains of EUR 2.8M (EUR 1.7M non-cash impact of the revaluation of U.S. dollar-denominated cash and cash equivalents as of December 31, 2024).</w:t>
      </w:r>
    </w:p>
    <w:p>
      <w:pPr>
        <w:spacing w:after="0" w:line="196" w:lineRule="exact"/>
        <w:rPr>
          <w:rFonts w:ascii="Verdana" w:cs="Verdana" w:eastAsia="Verdana" w:hAnsi="Verdana"/>
          <w:sz w:val="18"/>
          <w:szCs w:val="18"/>
          <w:color w:val="auto"/>
        </w:rPr>
      </w:pPr>
    </w:p>
    <w:p>
      <w:pPr>
        <w:ind w:left="320" w:hanging="312"/>
        <w:spacing w:after="0"/>
        <w:tabs>
          <w:tab w:leader="none" w:pos="320" w:val="left"/>
        </w:tabs>
        <w:numPr>
          <w:ilvl w:val="0"/>
          <w:numId w:val="7"/>
        </w:numPr>
        <w:rPr>
          <w:rFonts w:ascii="Arial" w:cs="Arial" w:eastAsia="Arial" w:hAnsi="Arial"/>
          <w:sz w:val="20"/>
          <w:szCs w:val="20"/>
          <w:color w:val="auto"/>
        </w:rPr>
      </w:pPr>
      <w:r>
        <w:rPr>
          <w:rFonts w:ascii="Verdana" w:cs="Verdana" w:eastAsia="Verdana" w:hAnsi="Verdana"/>
          <w:sz w:val="18"/>
          <w:szCs w:val="18"/>
          <w:color w:val="auto"/>
        </w:rPr>
        <w:t>Cash position as of December 31, 2024 was EUR 144.2, compared to EUR 261.0 (including other financial assets of EUR</w:t>
      </w:r>
    </w:p>
    <w:p>
      <w:pPr>
        <w:ind w:left="340"/>
        <w:spacing w:after="0"/>
        <w:rPr>
          <w:rFonts w:ascii="Arial" w:cs="Arial" w:eastAsia="Arial" w:hAnsi="Arial"/>
          <w:sz w:val="20"/>
          <w:szCs w:val="20"/>
          <w:color w:val="auto"/>
        </w:rPr>
      </w:pPr>
      <w:r>
        <w:rPr>
          <w:rFonts w:ascii="Verdana" w:cs="Verdana" w:eastAsia="Verdana" w:hAnsi="Verdana"/>
          <w:sz w:val="18"/>
          <w:szCs w:val="18"/>
          <w:color w:val="auto"/>
        </w:rPr>
        <w:t>9.0M) as of December 31, 2023. The decrease was driven by:</w:t>
      </w:r>
    </w:p>
    <w:p>
      <w:pPr>
        <w:spacing w:after="0" w:line="226" w:lineRule="exact"/>
        <w:rPr>
          <w:rFonts w:ascii="Arial" w:cs="Arial" w:eastAsia="Arial" w:hAnsi="Arial"/>
          <w:sz w:val="20"/>
          <w:szCs w:val="20"/>
          <w:color w:val="auto"/>
        </w:rPr>
      </w:pPr>
    </w:p>
    <w:p>
      <w:pPr>
        <w:jc w:val="both"/>
        <w:ind w:left="980" w:hanging="324"/>
        <w:spacing w:after="0" w:line="222" w:lineRule="auto"/>
        <w:tabs>
          <w:tab w:leader="none" w:pos="976" w:val="left"/>
        </w:tabs>
        <w:numPr>
          <w:ilvl w:val="1"/>
          <w:numId w:val="7"/>
        </w:numPr>
        <w:rPr>
          <w:rFonts w:ascii="Verdana" w:cs="Verdana" w:eastAsia="Verdana" w:hAnsi="Verdana"/>
          <w:sz w:val="18"/>
          <w:szCs w:val="18"/>
          <w:color w:val="auto"/>
        </w:rPr>
      </w:pPr>
      <w:r>
        <w:rPr>
          <w:rFonts w:ascii="Verdana" w:cs="Verdana" w:eastAsia="Verdana" w:hAnsi="Verdana"/>
          <w:sz w:val="18"/>
          <w:szCs w:val="18"/>
          <w:color w:val="auto"/>
        </w:rPr>
        <w:t>EUR 154.1M being used in operating activities to advance the Phase 3 clinical trials of obefazimod in UC and the initiation of the Phase 2b trial for CD, and the full year impact of increased legal and professional fees and other infrastructure costs associated with operating as a dual-listed public company and changes in working capital; and</w:t>
      </w:r>
    </w:p>
    <w:p>
      <w:pPr>
        <w:ind w:left="980" w:hanging="324"/>
        <w:spacing w:after="0" w:line="207" w:lineRule="auto"/>
        <w:tabs>
          <w:tab w:leader="none" w:pos="980" w:val="left"/>
        </w:tabs>
        <w:numPr>
          <w:ilvl w:val="1"/>
          <w:numId w:val="7"/>
        </w:numPr>
        <w:rPr>
          <w:rFonts w:ascii="Verdana" w:cs="Verdana" w:eastAsia="Verdana" w:hAnsi="Verdana"/>
          <w:sz w:val="18"/>
          <w:szCs w:val="18"/>
          <w:color w:val="auto"/>
        </w:rPr>
      </w:pPr>
      <w:r>
        <w:rPr>
          <w:rFonts w:ascii="Verdana" w:cs="Verdana" w:eastAsia="Verdana" w:hAnsi="Verdana"/>
          <w:sz w:val="18"/>
          <w:szCs w:val="18"/>
          <w:color w:val="auto"/>
        </w:rPr>
        <w:t>Debt and interest repayments of EUR 20.9M;</w:t>
      </w:r>
    </w:p>
    <w:p>
      <w:pPr>
        <w:ind w:left="980" w:hanging="324"/>
        <w:spacing w:after="0"/>
        <w:tabs>
          <w:tab w:leader="none" w:pos="980" w:val="left"/>
        </w:tabs>
        <w:numPr>
          <w:ilvl w:val="1"/>
          <w:numId w:val="7"/>
        </w:numPr>
        <w:rPr>
          <w:rFonts w:ascii="Verdana" w:cs="Verdana" w:eastAsia="Verdana" w:hAnsi="Verdana"/>
          <w:sz w:val="18"/>
          <w:szCs w:val="18"/>
          <w:color w:val="auto"/>
        </w:rPr>
      </w:pPr>
      <w:r>
        <w:rPr>
          <w:rFonts w:ascii="Verdana" w:cs="Verdana" w:eastAsia="Verdana" w:hAnsi="Verdana"/>
          <w:sz w:val="18"/>
          <w:szCs w:val="18"/>
          <w:color w:val="auto"/>
        </w:rPr>
        <w:t>Partially offset by drawdowns on Tranches B and C of the Kreos/Claret Financing of EUR 50.0M.</w:t>
      </w:r>
    </w:p>
    <w:p>
      <w:pPr>
        <w:spacing w:after="0" w:line="227" w:lineRule="exact"/>
        <w:rPr>
          <w:sz w:val="20"/>
          <w:szCs w:val="20"/>
          <w:color w:val="auto"/>
        </w:rPr>
      </w:pPr>
    </w:p>
    <w:p>
      <w:pPr>
        <w:jc w:val="both"/>
        <w:spacing w:after="0" w:line="233" w:lineRule="auto"/>
        <w:rPr>
          <w:sz w:val="20"/>
          <w:szCs w:val="20"/>
          <w:color w:val="auto"/>
        </w:rPr>
      </w:pPr>
      <w:r>
        <w:rPr>
          <w:rFonts w:ascii="Verdana" w:cs="Verdana" w:eastAsia="Verdana" w:hAnsi="Verdana"/>
          <w:sz w:val="18"/>
          <w:szCs w:val="18"/>
          <w:color w:val="auto"/>
        </w:rPr>
        <w:t>Based on the currently available funds, including the drawdown of the second tranche Kreos/Claret financing described above, and the expected reimbursement of the research tax credits (CIR) from 2024 in the second half of 2025 amounting to EUR 5.7M, Abivax expects to be able to finance its operating cash flow requirements into Q4 2025.</w:t>
      </w:r>
    </w:p>
    <w:p>
      <w:pPr>
        <w:sectPr>
          <w:pgSz w:w="11900" w:h="16838" w:orient="portrait"/>
          <w:cols w:equalWidth="0" w:num="1">
            <w:col w:w="11240"/>
          </w:cols>
          <w:pgMar w:left="320" w:top="846" w:right="339" w:bottom="1440" w:gutter="0" w:footer="0" w:header="0"/>
        </w:sectPr>
      </w:pPr>
    </w:p>
    <w:bookmarkStart w:id="6" w:name="page7"/>
    <w:bookmarkEnd w:id="6"/>
    <w:p>
      <w:pPr>
        <w:jc w:val="center"/>
        <w:spacing w:after="0"/>
        <w:rPr>
          <w:sz w:val="20"/>
          <w:szCs w:val="20"/>
          <w:color w:val="auto"/>
        </w:rPr>
      </w:pPr>
      <w:r>
        <w:rPr>
          <w:rFonts w:ascii="Verdana" w:cs="Verdana" w:eastAsia="Verdana" w:hAnsi="Verdana"/>
          <w:sz w:val="18"/>
          <w:szCs w:val="18"/>
          <w:b w:val="1"/>
          <w:bCs w:val="1"/>
          <w:color w:val="auto"/>
        </w:rPr>
        <w:t>*****</w:t>
      </w:r>
    </w:p>
    <w:p>
      <w:pPr>
        <w:spacing w:after="0" w:line="222" w:lineRule="auto"/>
        <w:rPr>
          <w:sz w:val="20"/>
          <w:szCs w:val="20"/>
          <w:color w:val="auto"/>
        </w:rPr>
      </w:pPr>
      <w:r>
        <w:rPr>
          <w:rFonts w:ascii="Verdana" w:cs="Verdana" w:eastAsia="Verdana" w:hAnsi="Verdana"/>
          <w:sz w:val="18"/>
          <w:szCs w:val="18"/>
          <w:b w:val="1"/>
          <w:bCs w:val="1"/>
          <w:color w:val="auto"/>
        </w:rPr>
        <w:t>About Abivax</w:t>
      </w:r>
    </w:p>
    <w:p>
      <w:pPr>
        <w:jc w:val="both"/>
        <w:spacing w:after="0" w:line="231" w:lineRule="auto"/>
        <w:rPr>
          <w:sz w:val="20"/>
          <w:szCs w:val="20"/>
          <w:color w:val="auto"/>
        </w:rPr>
      </w:pPr>
      <w:r>
        <w:rPr>
          <w:rFonts w:ascii="Verdana" w:cs="Verdana" w:eastAsia="Verdana" w:hAnsi="Verdana"/>
          <w:sz w:val="18"/>
          <w:szCs w:val="18"/>
          <w:color w:val="auto"/>
        </w:rPr>
        <w:t>Abivax is a clinical-stage biotechnology company focused on developing therapeutics that harness the body’s natural regulatory mechanisms to stabilize the immune response in patients with chronic inflammatory diseases. Based in France and the United States, Abivax’s lead drug candidate, obefazimod (ABX464), is in Phase 3 clinical trials for the treatment of moderately to severely active ulcerative colitis.</w:t>
      </w:r>
    </w:p>
    <w:p>
      <w:pPr>
        <w:spacing w:after="0" w:line="21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Contacts:</w:t>
      </w:r>
    </w:p>
    <w:p>
      <w:pPr>
        <w:spacing w:after="0" w:line="197" w:lineRule="exact"/>
        <w:rPr>
          <w:sz w:val="20"/>
          <w:szCs w:val="20"/>
          <w:color w:val="auto"/>
        </w:rPr>
      </w:pPr>
    </w:p>
    <w:p>
      <w:pPr>
        <w:spacing w:after="0"/>
        <w:rPr>
          <w:sz w:val="20"/>
          <w:szCs w:val="20"/>
          <w:color w:val="auto"/>
        </w:rPr>
      </w:pPr>
      <w:r>
        <w:rPr>
          <w:rFonts w:ascii="Verdana" w:cs="Verdana" w:eastAsia="Verdana" w:hAnsi="Verdana"/>
          <w:sz w:val="18"/>
          <w:szCs w:val="18"/>
          <w:color w:val="auto"/>
        </w:rPr>
        <w:t>Patrick Malloy</w:t>
      </w:r>
    </w:p>
    <w:p>
      <w:pPr>
        <w:spacing w:after="0" w:line="222" w:lineRule="auto"/>
        <w:rPr>
          <w:sz w:val="20"/>
          <w:szCs w:val="20"/>
          <w:color w:val="auto"/>
        </w:rPr>
      </w:pPr>
      <w:r>
        <w:rPr>
          <w:rFonts w:ascii="Verdana" w:cs="Verdana" w:eastAsia="Verdana" w:hAnsi="Verdana"/>
          <w:sz w:val="18"/>
          <w:szCs w:val="18"/>
          <w:color w:val="auto"/>
        </w:rPr>
        <w:t>SVP, Investor Relations</w:t>
      </w:r>
    </w:p>
    <w:p>
      <w:pPr>
        <w:spacing w:after="0" w:line="222" w:lineRule="auto"/>
        <w:rPr>
          <w:sz w:val="20"/>
          <w:szCs w:val="20"/>
          <w:color w:val="auto"/>
        </w:rPr>
      </w:pPr>
      <w:r>
        <w:rPr>
          <w:rFonts w:ascii="Verdana" w:cs="Verdana" w:eastAsia="Verdana" w:hAnsi="Verdana"/>
          <w:sz w:val="18"/>
          <w:szCs w:val="18"/>
          <w:color w:val="auto"/>
        </w:rPr>
        <w:t>Abivax SA</w:t>
      </w:r>
    </w:p>
    <w:p>
      <w:pPr>
        <w:spacing w:after="0" w:line="222" w:lineRule="auto"/>
        <w:rPr>
          <w:sz w:val="20"/>
          <w:szCs w:val="20"/>
          <w:color w:val="auto"/>
        </w:rPr>
      </w:pPr>
      <w:r>
        <w:rPr>
          <w:rFonts w:ascii="Verdana" w:cs="Verdana" w:eastAsia="Verdana" w:hAnsi="Verdana"/>
          <w:sz w:val="18"/>
          <w:szCs w:val="18"/>
          <w:color w:val="auto"/>
        </w:rPr>
        <w:t>patrick.malloy@abivax.com</w:t>
      </w:r>
    </w:p>
    <w:p>
      <w:pPr>
        <w:spacing w:after="0"/>
        <w:rPr>
          <w:sz w:val="20"/>
          <w:szCs w:val="20"/>
          <w:color w:val="auto"/>
        </w:rPr>
      </w:pPr>
      <w:r>
        <w:rPr>
          <w:rFonts w:ascii="Verdana" w:cs="Verdana" w:eastAsia="Verdana" w:hAnsi="Verdana"/>
          <w:sz w:val="18"/>
          <w:szCs w:val="18"/>
          <w:color w:val="auto"/>
        </w:rPr>
        <w:t>+1 847 987 4878</w:t>
      </w:r>
    </w:p>
    <w:p>
      <w:pPr>
        <w:spacing w:after="0" w:line="21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FORWARD-LOOKING STATEMENTS</w:t>
      </w:r>
    </w:p>
    <w:p>
      <w:pPr>
        <w:ind w:right="40"/>
        <w:spacing w:after="0" w:line="224" w:lineRule="auto"/>
        <w:rPr>
          <w:sz w:val="20"/>
          <w:szCs w:val="20"/>
          <w:color w:val="auto"/>
        </w:rPr>
      </w:pPr>
      <w:r>
        <w:rPr>
          <w:rFonts w:ascii="Verdana" w:cs="Verdana" w:eastAsia="Verdana" w:hAnsi="Verdana"/>
          <w:sz w:val="16"/>
          <w:szCs w:val="16"/>
          <w:i w:val="1"/>
          <w:iCs w:val="1"/>
          <w:color w:val="auto"/>
        </w:rPr>
        <w:t>This press release contains forward-looking statements, forecasts and estimates, including those relating to the Company’s business and financial objectives. Words such as “design,” “expect,” “forward,” “future,” “potential,” “plan,” “project,” “will” and variations of such</w:t>
      </w:r>
    </w:p>
    <w:p>
      <w:pPr>
        <w:spacing w:after="0" w:line="2" w:lineRule="exact"/>
        <w:rPr>
          <w:sz w:val="20"/>
          <w:szCs w:val="20"/>
          <w:color w:val="auto"/>
        </w:rPr>
      </w:pPr>
    </w:p>
    <w:p>
      <w:pPr>
        <w:spacing w:after="0" w:line="224" w:lineRule="auto"/>
        <w:rPr>
          <w:sz w:val="20"/>
          <w:szCs w:val="20"/>
          <w:color w:val="auto"/>
        </w:rPr>
      </w:pPr>
      <w:r>
        <w:rPr>
          <w:rFonts w:ascii="Verdana" w:cs="Verdana" w:eastAsia="Verdana" w:hAnsi="Verdana"/>
          <w:sz w:val="16"/>
          <w:szCs w:val="16"/>
          <w:i w:val="1"/>
          <w:iCs w:val="1"/>
          <w:color w:val="auto"/>
        </w:rPr>
        <w:t>words and similar expressions are intended to identify forward-looking statements. These forward-looking statements include statements concerning or implying the therapeutic potential of Abivax's drug candidates, Abivax’s expectations regarding the availability of data and</w:t>
      </w:r>
    </w:p>
    <w:p>
      <w:pPr>
        <w:spacing w:after="0" w:line="2" w:lineRule="exact"/>
        <w:rPr>
          <w:sz w:val="20"/>
          <w:szCs w:val="20"/>
          <w:color w:val="auto"/>
        </w:rPr>
      </w:pPr>
    </w:p>
    <w:p>
      <w:pPr>
        <w:ind w:right="460"/>
        <w:spacing w:after="0" w:line="224" w:lineRule="auto"/>
        <w:rPr>
          <w:sz w:val="20"/>
          <w:szCs w:val="20"/>
          <w:color w:val="auto"/>
        </w:rPr>
      </w:pPr>
      <w:r>
        <w:rPr>
          <w:rFonts w:ascii="Verdana" w:cs="Verdana" w:eastAsia="Verdana" w:hAnsi="Verdana"/>
          <w:sz w:val="16"/>
          <w:szCs w:val="16"/>
          <w:i w:val="1"/>
          <w:iCs w:val="1"/>
          <w:color w:val="auto"/>
        </w:rPr>
        <w:t>timing of reporting results from its clinical trials, including its Phase 3 ABTECT-1 and ABTECT-2 induction trials and Phase 3 ABTECT maintenance trial, enrollment of patients in clinical trials, Abivax’s cash runway, and other statements that are not historical fact.</w:t>
      </w:r>
    </w:p>
    <w:p>
      <w:pPr>
        <w:spacing w:after="0" w:line="2" w:lineRule="exact"/>
        <w:rPr>
          <w:sz w:val="20"/>
          <w:szCs w:val="20"/>
          <w:color w:val="auto"/>
        </w:rPr>
      </w:pPr>
    </w:p>
    <w:p>
      <w:pPr>
        <w:jc w:val="both"/>
        <w:ind w:right="320"/>
        <w:spacing w:after="0" w:line="222" w:lineRule="auto"/>
        <w:rPr>
          <w:sz w:val="20"/>
          <w:szCs w:val="20"/>
          <w:color w:val="auto"/>
        </w:rPr>
      </w:pPr>
      <w:r>
        <w:rPr>
          <w:rFonts w:ascii="Verdana" w:cs="Verdana" w:eastAsia="Verdana" w:hAnsi="Verdana"/>
          <w:sz w:val="16"/>
          <w:szCs w:val="16"/>
          <w:i w:val="1"/>
          <w:iCs w:val="1"/>
          <w:color w:val="auto"/>
        </w:rPr>
        <w:t>Although Abivax’s management believes that the expectations reflected in such forward-looking statements are reasonable, investors are cautioned that forward-looking information and statements are subject to various risks, contingencies and uncertainties, many of which are difficult to predict and generally beyond the control of Abivax, that could cause actual results and developments to differ</w:t>
      </w:r>
    </w:p>
    <w:p>
      <w:pPr>
        <w:ind w:right="240"/>
        <w:spacing w:after="0" w:line="224" w:lineRule="auto"/>
        <w:rPr>
          <w:sz w:val="20"/>
          <w:szCs w:val="20"/>
          <w:color w:val="auto"/>
        </w:rPr>
      </w:pPr>
      <w:r>
        <w:rPr>
          <w:rFonts w:ascii="Verdana" w:cs="Verdana" w:eastAsia="Verdana" w:hAnsi="Verdana"/>
          <w:sz w:val="16"/>
          <w:szCs w:val="16"/>
          <w:i w:val="1"/>
          <w:iCs w:val="1"/>
          <w:color w:val="auto"/>
        </w:rPr>
        <w:t>materially from those expressed in, or implied or projected by, the forward-looking information and statements. A description of these risks, contingencies and uncertainties can be found in the documents filed by the Company with the French Autorité des Marchés</w:t>
      </w:r>
    </w:p>
    <w:p>
      <w:pPr>
        <w:spacing w:after="0" w:line="2" w:lineRule="exact"/>
        <w:rPr>
          <w:sz w:val="20"/>
          <w:szCs w:val="20"/>
          <w:color w:val="auto"/>
        </w:rPr>
      </w:pPr>
    </w:p>
    <w:p>
      <w:pPr>
        <w:ind w:right="240"/>
        <w:spacing w:after="0" w:line="224" w:lineRule="auto"/>
        <w:rPr>
          <w:sz w:val="20"/>
          <w:szCs w:val="20"/>
          <w:color w:val="auto"/>
        </w:rPr>
      </w:pPr>
      <w:r>
        <w:rPr>
          <w:rFonts w:ascii="Verdana" w:cs="Verdana" w:eastAsia="Verdana" w:hAnsi="Verdana"/>
          <w:sz w:val="16"/>
          <w:szCs w:val="16"/>
          <w:i w:val="1"/>
          <w:iCs w:val="1"/>
          <w:color w:val="auto"/>
        </w:rPr>
        <w:t>Financiers pursuant to its legal obligations including its universal registration document (Document d’Enregistrement Universel) and in the Company’s Annual Report on Form 20-F for the fiscal year ended December 31, 2024 to be filed with the U.S. Securities and</w:t>
      </w:r>
    </w:p>
    <w:p>
      <w:pPr>
        <w:spacing w:after="0" w:line="2" w:lineRule="exact"/>
        <w:rPr>
          <w:sz w:val="20"/>
          <w:szCs w:val="20"/>
          <w:color w:val="auto"/>
        </w:rPr>
      </w:pPr>
    </w:p>
    <w:p>
      <w:pPr>
        <w:ind w:right="340"/>
        <w:spacing w:after="0" w:line="224" w:lineRule="auto"/>
        <w:rPr>
          <w:sz w:val="20"/>
          <w:szCs w:val="20"/>
          <w:color w:val="auto"/>
        </w:rPr>
      </w:pPr>
      <w:r>
        <w:rPr>
          <w:rFonts w:ascii="Verdana" w:cs="Verdana" w:eastAsia="Verdana" w:hAnsi="Verdana"/>
          <w:sz w:val="16"/>
          <w:szCs w:val="16"/>
          <w:i w:val="1"/>
          <w:iCs w:val="1"/>
          <w:color w:val="auto"/>
        </w:rPr>
        <w:t>Exchange Commission under the caption “Risk Factors.” These risks, contingencies and uncertainties include among other things, the uncertainties inherent in research and development, future clinical data and analysis, decisions by regulatory authorities, such as the</w:t>
      </w:r>
    </w:p>
    <w:p>
      <w:pPr>
        <w:spacing w:after="0" w:line="2" w:lineRule="exact"/>
        <w:rPr>
          <w:sz w:val="20"/>
          <w:szCs w:val="20"/>
          <w:color w:val="auto"/>
        </w:rPr>
      </w:pPr>
    </w:p>
    <w:p>
      <w:pPr>
        <w:ind w:right="20"/>
        <w:spacing w:after="0" w:line="222" w:lineRule="auto"/>
        <w:rPr>
          <w:sz w:val="20"/>
          <w:szCs w:val="20"/>
          <w:color w:val="auto"/>
        </w:rPr>
      </w:pPr>
      <w:r>
        <w:rPr>
          <w:rFonts w:ascii="Verdana" w:cs="Verdana" w:eastAsia="Verdana" w:hAnsi="Verdana"/>
          <w:sz w:val="16"/>
          <w:szCs w:val="16"/>
          <w:i w:val="1"/>
          <w:iCs w:val="1"/>
          <w:color w:val="auto"/>
        </w:rPr>
        <w:t>FDA or the EMA, regarding whether and when to approve any drug candidate, as well as their decisions regarding labelling and other matters that could affect the availability or commercial potential of such product candidates. Special consideration should be given to the potential hurdles of clinical and pharmaceutical development including further assessment by the Company and regulatory agencies and</w:t>
      </w:r>
    </w:p>
    <w:p>
      <w:pPr>
        <w:ind w:right="80"/>
        <w:spacing w:after="0" w:line="224" w:lineRule="auto"/>
        <w:rPr>
          <w:sz w:val="20"/>
          <w:szCs w:val="20"/>
          <w:color w:val="auto"/>
        </w:rPr>
      </w:pPr>
      <w:r>
        <w:rPr>
          <w:rFonts w:ascii="Verdana" w:cs="Verdana" w:eastAsia="Verdana" w:hAnsi="Verdana"/>
          <w:sz w:val="16"/>
          <w:szCs w:val="16"/>
          <w:i w:val="1"/>
          <w:iCs w:val="1"/>
          <w:color w:val="auto"/>
        </w:rPr>
        <w:t>IRBs/ethics committees following the assessment of preclinical, pharmacokinetic, carcinogenicity, toxicity, CMC and clinical data. Furthermore, these forward-looking statements, forecasts and estimates are made only as of the date of this press release. Readers are</w:t>
      </w:r>
    </w:p>
    <w:p>
      <w:pPr>
        <w:spacing w:after="0" w:line="2" w:lineRule="exact"/>
        <w:rPr>
          <w:sz w:val="20"/>
          <w:szCs w:val="20"/>
          <w:color w:val="auto"/>
        </w:rPr>
      </w:pPr>
    </w:p>
    <w:p>
      <w:pPr>
        <w:ind w:right="200"/>
        <w:spacing w:after="0" w:line="224" w:lineRule="auto"/>
        <w:rPr>
          <w:sz w:val="20"/>
          <w:szCs w:val="20"/>
          <w:color w:val="auto"/>
        </w:rPr>
      </w:pPr>
      <w:r>
        <w:rPr>
          <w:rFonts w:ascii="Verdana" w:cs="Verdana" w:eastAsia="Verdana" w:hAnsi="Verdana"/>
          <w:sz w:val="16"/>
          <w:szCs w:val="16"/>
          <w:i w:val="1"/>
          <w:iCs w:val="1"/>
          <w:color w:val="auto"/>
        </w:rPr>
        <w:t>cautioned not to place undue reliance on these forward-looking statements. Abivax disclaims any obligation to update these forward-looking statements, forecasts or estimates to reflect any subsequent changes that the Company becomes aware of, except as required</w:t>
      </w:r>
    </w:p>
    <w:p>
      <w:pPr>
        <w:spacing w:after="0" w:line="2" w:lineRule="exact"/>
        <w:rPr>
          <w:sz w:val="20"/>
          <w:szCs w:val="20"/>
          <w:color w:val="auto"/>
        </w:rPr>
      </w:pPr>
    </w:p>
    <w:p>
      <w:pPr>
        <w:ind w:right="80"/>
        <w:spacing w:after="0" w:line="222" w:lineRule="auto"/>
        <w:rPr>
          <w:sz w:val="20"/>
          <w:szCs w:val="20"/>
          <w:color w:val="auto"/>
        </w:rPr>
      </w:pPr>
      <w:r>
        <w:rPr>
          <w:rFonts w:ascii="Verdana" w:cs="Verdana" w:eastAsia="Verdana" w:hAnsi="Verdana"/>
          <w:sz w:val="16"/>
          <w:szCs w:val="16"/>
          <w:i w:val="1"/>
          <w:iCs w:val="1"/>
          <w:color w:val="auto"/>
        </w:rPr>
        <w:t>by law. Information about pharmaceutical products (including products currently in development) that is included in this press release is not intended to constitute an advertisement. This press release is for information purposes only, and the information contained herein does not constitute either an offer to sell, or the solicitation of an offer to purchase or subscribe for securities of the Company in any</w:t>
      </w:r>
    </w:p>
    <w:p>
      <w:pPr>
        <w:ind w:right="180"/>
        <w:spacing w:after="0" w:line="224" w:lineRule="auto"/>
        <w:rPr>
          <w:sz w:val="20"/>
          <w:szCs w:val="20"/>
          <w:color w:val="auto"/>
        </w:rPr>
      </w:pPr>
      <w:r>
        <w:rPr>
          <w:rFonts w:ascii="Verdana" w:cs="Verdana" w:eastAsia="Verdana" w:hAnsi="Verdana"/>
          <w:sz w:val="16"/>
          <w:szCs w:val="16"/>
          <w:i w:val="1"/>
          <w:iCs w:val="1"/>
          <w:color w:val="auto"/>
        </w:rPr>
        <w:t>jurisdiction. Similarly, it does not give and should not be treated as giving investment advice. It has no connection with the investment objectives, financial situation or specific needs of any recipient. It should not be regarded by recipients as a substitute for exercise of</w:t>
      </w:r>
    </w:p>
    <w:p>
      <w:pPr>
        <w:spacing w:after="0" w:line="2" w:lineRule="exact"/>
        <w:rPr>
          <w:sz w:val="20"/>
          <w:szCs w:val="20"/>
          <w:color w:val="auto"/>
        </w:rPr>
      </w:pPr>
    </w:p>
    <w:p>
      <w:pPr>
        <w:ind w:right="240"/>
        <w:spacing w:after="0" w:line="224" w:lineRule="auto"/>
        <w:rPr>
          <w:sz w:val="20"/>
          <w:szCs w:val="20"/>
          <w:color w:val="auto"/>
        </w:rPr>
      </w:pPr>
      <w:r>
        <w:rPr>
          <w:rFonts w:ascii="Verdana" w:cs="Verdana" w:eastAsia="Verdana" w:hAnsi="Verdana"/>
          <w:sz w:val="16"/>
          <w:szCs w:val="16"/>
          <w:i w:val="1"/>
          <w:iCs w:val="1"/>
          <w:color w:val="auto"/>
        </w:rPr>
        <w:t>their own judgment. All opinions expressed herein are subject to change without notice. The distribution of this document may be restricted by law in certain jurisdictions. Persons into whose possession this document comes are required to inform themselves about</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i w:val="1"/>
          <w:iCs w:val="1"/>
          <w:color w:val="auto"/>
        </w:rPr>
        <w:t>and to observe any such restrictions.</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2025-03-24T05:12:13Z</dcterms:created>
  <dcterms:modified xsi:type="dcterms:W3CDTF">2025-03-24T05:12:13Z</dcterms:modified>
</cp:coreProperties>
</file>