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4"/>
          <w:szCs w:val="24"/>
          <w:color w:val="auto"/>
        </w:rPr>
      </w:pPr>
    </w:p>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5" w:lineRule="exact"/>
        <w:rPr>
          <w:sz w:val="24"/>
          <w:szCs w:val="24"/>
          <w:color w:val="auto"/>
        </w:rPr>
      </w:pPr>
    </w:p>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Registration No. 333-288884</w:t>
      </w:r>
    </w:p>
    <w:p>
      <w:pPr>
        <w:spacing w:after="0" w:line="162"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5"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(To Prospectus Dated July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127000</wp:posOffset>
            </wp:positionV>
            <wp:extent cx="1475740" cy="242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740" cy="242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ABIVAX SA</w:t>
      </w:r>
    </w:p>
    <w:p>
      <w:pPr>
        <w:spacing w:after="0" w:line="18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403,347 AMERICAN DEPOSITARY SHARES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EACH REPRESENTING ONE ORDINARY SHARE</w:t>
      </w:r>
    </w:p>
    <w:p>
      <w:pPr>
        <w:spacing w:after="0" w:line="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OFFERED BY THE SELLING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181610</wp:posOffset>
            </wp:positionV>
            <wp:extent cx="11518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This prospectus supplement relates to the offer and resale from time to time of up to 403,347 of our American Depositary Shares (“ADSs”), each representing one ordinary share, €0.01 nominal value per share, by the selling shareholders listed in the “Selling Shareholders” section of this prospectus supplement or their permitted donees, pledgees, transferees, distributees or other successors in interest (the “Selling Shareholders”). We are registering the offer and resale of our ADSs owned by the Selling Shareholders to satisfy registration rights we granted to each Selling Shareholder pursuant to a certain purchase agreement entered into by and among us and the Selling Shareholders. The Selling Shareholders or their donees, pledgees, transferees, distributees or other successors in interest may offer, sell or distribute our ADSs in a number of different ways and at varying prices. We provide more information about how the Selling Shareholders may offer, sell or distribute our ADSs in the section of this prospectus supplement titled “Plan of Distribution.” We will not receive any of the proceeds from the sale of our ADSs by the Selling Shareholders. We have paid or will pay the fees and expenses incident to the registration of our ADSs for sale by the Selling Shareholders. The Selling Shareholders will bear all commissions, discounts, brokerage fees and similar expenses, if any, attributable to their respective sales of our ADSs.</w:t>
      </w:r>
    </w:p>
    <w:p>
      <w:pPr>
        <w:spacing w:after="0" w:line="150" w:lineRule="exact"/>
        <w:rPr>
          <w:sz w:val="24"/>
          <w:szCs w:val="24"/>
          <w:color w:val="auto"/>
        </w:rPr>
      </w:pPr>
    </w:p>
    <w:p>
      <w:pPr>
        <w:ind w:left="1320" w:right="299" w:firstLine="346"/>
        <w:spacing w:after="0" w:line="270" w:lineRule="auto"/>
        <w:rPr>
          <w:sz w:val="20"/>
          <w:szCs w:val="20"/>
          <w:color w:val="auto"/>
        </w:rPr>
      </w:pPr>
      <w:r>
        <w:rPr>
          <w:rFonts w:ascii="Times New Roman" w:cs="Times New Roman" w:eastAsia="Times New Roman" w:hAnsi="Times New Roman"/>
          <w:sz w:val="14"/>
          <w:szCs w:val="14"/>
          <w:color w:val="auto"/>
        </w:rPr>
        <w:t>Our ordinary shares are listed on the regulated market of Euronext in Paris (“Euronext Paris”) under the symbol “ABVX.” Our ADSs are listed osn the Nasdaq Global Market (“Nasdaq”) under the symbol “ABVX.” On May 5, 2026, the last reported sale price of our ordinary shares on Euronext Paris was €105.50 per ordinary share and the last reported sale price of our ADSs on Nasdaq was $123.78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162560</wp:posOffset>
            </wp:positionV>
            <wp:extent cx="11518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392" w:lineRule="exact"/>
        <w:rPr>
          <w:sz w:val="24"/>
          <w:szCs w:val="24"/>
          <w:color w:val="auto"/>
        </w:rPr>
      </w:pPr>
    </w:p>
    <w:p>
      <w:pPr>
        <w:ind w:left="1320" w:right="219" w:firstLine="346"/>
        <w:spacing w:after="0" w:line="300" w:lineRule="auto"/>
        <w:rPr>
          <w:sz w:val="20"/>
          <w:szCs w:val="20"/>
          <w:color w:val="auto"/>
        </w:rPr>
      </w:pPr>
      <w:r>
        <w:rPr>
          <w:rFonts w:ascii="Times New Roman" w:cs="Times New Roman" w:eastAsia="Times New Roman" w:hAnsi="Times New Roman"/>
          <w:sz w:val="16"/>
          <w:szCs w:val="16"/>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S-5 of this prospectus supplement before investing in our securities.</w:t>
      </w:r>
    </w:p>
    <w:p>
      <w:pPr>
        <w:spacing w:after="0" w:line="102" w:lineRule="exact"/>
        <w:rPr>
          <w:sz w:val="24"/>
          <w:szCs w:val="24"/>
          <w:color w:val="auto"/>
        </w:rPr>
      </w:pPr>
    </w:p>
    <w:p>
      <w:pPr>
        <w:jc w:val="both"/>
        <w:ind w:left="1320" w:right="339" w:firstLine="346"/>
        <w:spacing w:after="0" w:line="270"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 securities to be issued under this prospectus supplement or determined if this prospectus supplement is accurate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162560</wp:posOffset>
            </wp:positionV>
            <wp:extent cx="11518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40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7, 2026.</w:t>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00" w:type="dxa"/>
            <w:vAlign w:val="bottom"/>
            <w:gridSpan w:val="5"/>
          </w:tcPr>
          <w:p>
            <w:pPr>
              <w:jc w:val="center"/>
              <w:ind w:right="3060"/>
              <w:spacing w:after="0"/>
              <w:rPr>
                <w:sz w:val="20"/>
                <w:szCs w:val="20"/>
                <w:color w:val="auto"/>
              </w:rPr>
            </w:pPr>
            <w:r>
              <w:rPr>
                <w:rFonts w:ascii="Times New Roman" w:cs="Times New Roman" w:eastAsia="Times New Roman" w:hAnsi="Times New Roman"/>
                <w:sz w:val="14"/>
                <w:szCs w:val="14"/>
                <w:b w:val="1"/>
                <w:bCs w:val="1"/>
                <w:color w:val="auto"/>
              </w:rPr>
              <w:t>TABLE OF CONTENT</w:t>
            </w:r>
          </w:p>
        </w:tc>
        <w:tc>
          <w:tcPr>
            <w:tcW w:w="320" w:type="dxa"/>
            <w:vAlign w:val="bottom"/>
          </w:tcPr>
          <w:p>
            <w:pPr>
              <w:spacing w:after="0"/>
              <w:rPr>
                <w:sz w:val="16"/>
                <w:szCs w:val="16"/>
                <w:color w:val="auto"/>
              </w:rPr>
            </w:pPr>
          </w:p>
        </w:tc>
      </w:tr>
      <w:tr>
        <w:trPr>
          <w:trHeight w:val="340"/>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6"/>
          </w:tcPr>
          <w:p>
            <w:pPr>
              <w:jc w:val="center"/>
              <w:ind w:right="2980"/>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320" w:type="dxa"/>
            <w:vAlign w:val="bottom"/>
          </w:tcPr>
          <w:p>
            <w:pPr>
              <w:spacing w:after="0"/>
              <w:rPr>
                <w:sz w:val="24"/>
                <w:szCs w:val="24"/>
                <w:color w:val="auto"/>
              </w:rPr>
            </w:pPr>
          </w:p>
        </w:tc>
      </w:tr>
      <w:tr>
        <w:trPr>
          <w:trHeight w:val="30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PAGE</w:t>
            </w:r>
          </w:p>
        </w:tc>
      </w:tr>
      <w:tr>
        <w:trPr>
          <w:trHeight w:val="203"/>
        </w:trPr>
        <w:tc>
          <w:tcPr>
            <w:tcW w:w="27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5600" w:type="dxa"/>
            <w:vAlign w:val="bottom"/>
            <w:gridSpan w:val="8"/>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TRADEMARKS</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S-iii</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S-1</w:t>
            </w:r>
          </w:p>
        </w:tc>
      </w:tr>
      <w:tr>
        <w:trPr>
          <w:trHeight w:val="150"/>
        </w:trPr>
        <w:tc>
          <w:tcPr>
            <w:tcW w:w="1000" w:type="dxa"/>
            <w:vAlign w:val="bottom"/>
            <w:tcBorders>
              <w:top w:val="single" w:sz="8" w:color="0000EE"/>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8"/>
              </w:rPr>
              <w:t>THE OFFERING</w:t>
            </w:r>
          </w:p>
        </w:tc>
        <w:tc>
          <w:tcPr>
            <w:tcW w:w="1580" w:type="dxa"/>
            <w:vAlign w:val="bottom"/>
            <w:tcBorders>
              <w:top w:val="single" w:sz="8" w:color="0000EE"/>
            </w:tcBorders>
            <w:gridSpan w:val="10"/>
          </w:tcPr>
          <w:p>
            <w:pPr>
              <w:spacing w:after="0"/>
              <w:rPr>
                <w:sz w:val="13"/>
                <w:szCs w:val="13"/>
                <w:color w:val="auto"/>
              </w:rPr>
            </w:pPr>
          </w:p>
        </w:tc>
        <w:tc>
          <w:tcPr>
            <w:tcW w:w="5720" w:type="dxa"/>
            <w:vAlign w:val="bottom"/>
            <w:gridSpan w:val="9"/>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S-4</w:t>
            </w:r>
          </w:p>
        </w:tc>
      </w:tr>
      <w:tr>
        <w:trPr>
          <w:trHeight w:val="150"/>
        </w:trPr>
        <w:tc>
          <w:tcPr>
            <w:tcW w:w="98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7320" w:type="dxa"/>
            <w:vAlign w:val="bottom"/>
            <w:gridSpan w:val="20"/>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S-5</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S-6</w:t>
            </w:r>
          </w:p>
        </w:tc>
      </w:tr>
      <w:tr>
        <w:trPr>
          <w:trHeight w:val="150"/>
        </w:trPr>
        <w:tc>
          <w:tcPr>
            <w:tcW w:w="1240" w:type="dxa"/>
            <w:vAlign w:val="bottom"/>
            <w:tcBorders>
              <w:top w:val="single" w:sz="8" w:color="0000EE"/>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3300" w:type="dxa"/>
            <w:vAlign w:val="bottom"/>
            <w:tcBorders>
              <w:top w:val="single" w:sz="8" w:color="0000EE"/>
            </w:tcBorders>
            <w:gridSpan w:val="16"/>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S-8</w:t>
            </w:r>
          </w:p>
        </w:tc>
      </w:tr>
      <w:tr>
        <w:trPr>
          <w:trHeight w:val="150"/>
        </w:trPr>
        <w:tc>
          <w:tcPr>
            <w:tcW w:w="174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SHAREHOLDERS</w:t>
            </w:r>
          </w:p>
        </w:tc>
        <w:tc>
          <w:tcPr>
            <w:tcW w:w="6560" w:type="dxa"/>
            <w:vAlign w:val="bottom"/>
            <w:gridSpan w:val="14"/>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S-9</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S-11</w:t>
            </w:r>
          </w:p>
        </w:tc>
      </w:tr>
      <w:tr>
        <w:trPr>
          <w:trHeight w:val="150"/>
        </w:trPr>
        <w:tc>
          <w:tcPr>
            <w:tcW w:w="1140" w:type="dxa"/>
            <w:vAlign w:val="bottom"/>
            <w:tcBorders>
              <w:top w:val="single" w:sz="8" w:color="0000EE"/>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7"/>
              </w:rPr>
              <w:t>LEGAL MATTERS</w:t>
            </w:r>
          </w:p>
        </w:tc>
        <w:tc>
          <w:tcPr>
            <w:tcW w:w="460" w:type="dxa"/>
            <w:vAlign w:val="bottom"/>
            <w:tcBorders>
              <w:top w:val="single" w:sz="8" w:color="0000EE"/>
            </w:tcBorders>
            <w:gridSpan w:val="2"/>
          </w:tcPr>
          <w:p>
            <w:pPr>
              <w:spacing w:after="0"/>
              <w:rPr>
                <w:sz w:val="13"/>
                <w:szCs w:val="13"/>
                <w:color w:val="auto"/>
              </w:rPr>
            </w:pPr>
          </w:p>
        </w:tc>
        <w:tc>
          <w:tcPr>
            <w:tcW w:w="6700" w:type="dxa"/>
            <w:vAlign w:val="bottom"/>
            <w:gridSpan w:val="16"/>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S-14</w:t>
            </w:r>
          </w:p>
        </w:tc>
      </w:tr>
      <w:tr>
        <w:trPr>
          <w:trHeight w:val="150"/>
        </w:trPr>
        <w:tc>
          <w:tcPr>
            <w:tcW w:w="60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5"/>
              </w:rPr>
              <w:t>EXPERTS</w:t>
            </w:r>
          </w:p>
        </w:tc>
        <w:tc>
          <w:tcPr>
            <w:tcW w:w="7700" w:type="dxa"/>
            <w:vAlign w:val="bottom"/>
            <w:gridSpan w:val="23"/>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S-14</w:t>
            </w:r>
          </w:p>
        </w:tc>
      </w:tr>
      <w:tr>
        <w:trPr>
          <w:trHeight w:val="150"/>
        </w:trPr>
        <w:tc>
          <w:tcPr>
            <w:tcW w:w="304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60" w:type="dxa"/>
            <w:vAlign w:val="bottom"/>
            <w:gridSpan w:val="7"/>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S-15</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S-16</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1"/>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5"/>
          </w:tcPr>
          <w:p>
            <w:pPr>
              <w:jc w:val="center"/>
              <w:ind w:right="304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320" w:type="dxa"/>
            <w:vAlign w:val="bottom"/>
          </w:tcPr>
          <w:p>
            <w:pPr>
              <w:spacing w:after="0"/>
              <w:rPr>
                <w:sz w:val="24"/>
                <w:szCs w:val="24"/>
                <w:color w:val="auto"/>
              </w:rPr>
            </w:pPr>
          </w:p>
        </w:tc>
      </w:tr>
      <w:tr>
        <w:trPr>
          <w:trHeight w:val="30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PAGE</w:t>
            </w:r>
          </w:p>
        </w:tc>
      </w:tr>
      <w:tr>
        <w:trPr>
          <w:trHeight w:val="203"/>
        </w:trPr>
        <w:tc>
          <w:tcPr>
            <w:tcW w:w="830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0"/>
        </w:trPr>
        <w:tc>
          <w:tcPr>
            <w:tcW w:w="1640" w:type="dxa"/>
            <w:vAlign w:val="bottom"/>
            <w:tcBorders>
              <w:top w:val="single" w:sz="8" w:color="0000EE"/>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w w:val="99"/>
              </w:rPr>
              <w:t>PROSPECTUS SUMMARY</w:t>
            </w:r>
          </w:p>
        </w:tc>
        <w:tc>
          <w:tcPr>
            <w:tcW w:w="100" w:type="dxa"/>
            <w:vAlign w:val="bottom"/>
            <w:tcBorders>
              <w:top w:val="single" w:sz="8" w:color="0000EE"/>
            </w:tcBorders>
          </w:tcPr>
          <w:p>
            <w:pPr>
              <w:spacing w:after="0"/>
              <w:rPr>
                <w:sz w:val="13"/>
                <w:szCs w:val="13"/>
                <w:color w:val="auto"/>
              </w:rPr>
            </w:pPr>
          </w:p>
        </w:tc>
        <w:tc>
          <w:tcPr>
            <w:tcW w:w="6560" w:type="dxa"/>
            <w:vAlign w:val="bottom"/>
            <w:gridSpan w:val="14"/>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150"/>
        </w:trPr>
        <w:tc>
          <w:tcPr>
            <w:tcW w:w="98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7320" w:type="dxa"/>
            <w:vAlign w:val="bottom"/>
            <w:gridSpan w:val="20"/>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1240" w:type="dxa"/>
            <w:vAlign w:val="bottom"/>
            <w:tcBorders>
              <w:top w:val="single" w:sz="8" w:color="0000EE"/>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2940" w:type="dxa"/>
            <w:vAlign w:val="bottom"/>
            <w:tcBorders>
              <w:top w:val="single" w:sz="8" w:color="0000EE"/>
            </w:tcBorders>
            <w:gridSpan w:val="14"/>
          </w:tcPr>
          <w:p>
            <w:pPr>
              <w:spacing w:after="0"/>
              <w:rPr>
                <w:sz w:val="13"/>
                <w:szCs w:val="13"/>
                <w:color w:val="auto"/>
              </w:rPr>
            </w:pPr>
          </w:p>
        </w:tc>
        <w:tc>
          <w:tcPr>
            <w:tcW w:w="4120" w:type="dxa"/>
            <w:vAlign w:val="bottom"/>
            <w:gridSpan w:val="3"/>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w:t>
            </w:r>
          </w:p>
        </w:tc>
      </w:tr>
      <w:tr>
        <w:trPr>
          <w:trHeight w:val="150"/>
        </w:trPr>
        <w:tc>
          <w:tcPr>
            <w:tcW w:w="200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SECURITY HOLDERS</w:t>
            </w:r>
          </w:p>
        </w:tc>
        <w:tc>
          <w:tcPr>
            <w:tcW w:w="6300" w:type="dxa"/>
            <w:vAlign w:val="bottom"/>
            <w:gridSpan w:val="12"/>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0"/>
        </w:trPr>
        <w:tc>
          <w:tcPr>
            <w:tcW w:w="226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SHARE CAPITAL</w:t>
            </w:r>
          </w:p>
        </w:tc>
        <w:tc>
          <w:tcPr>
            <w:tcW w:w="6040" w:type="dxa"/>
            <w:vAlign w:val="bottom"/>
            <w:gridSpan w:val="11"/>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150"/>
        </w:trPr>
        <w:tc>
          <w:tcPr>
            <w:tcW w:w="4520" w:type="dxa"/>
            <w:vAlign w:val="bottom"/>
            <w:tcBorders>
              <w:bottom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w w:val="99"/>
              </w:rPr>
              <w:t>LIMITATIONS AFFECTING SHAREHOLDERS OF A FRENCH COMPANY</w:t>
            </w:r>
          </w:p>
        </w:tc>
        <w:tc>
          <w:tcPr>
            <w:tcW w:w="3780" w:type="dxa"/>
            <w:vAlign w:val="bottom"/>
            <w:gridSpan w:val="2"/>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33</w:t>
            </w:r>
          </w:p>
        </w:tc>
      </w:tr>
      <w:tr>
        <w:trPr>
          <w:trHeight w:val="150"/>
        </w:trPr>
        <w:tc>
          <w:tcPr>
            <w:tcW w:w="3400" w:type="dxa"/>
            <w:vAlign w:val="bottom"/>
            <w:tcBorders>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AMERICAN DEPOSITARY SHARES</w:t>
            </w:r>
          </w:p>
        </w:tc>
        <w:tc>
          <w:tcPr>
            <w:tcW w:w="4900" w:type="dxa"/>
            <w:vAlign w:val="bottom"/>
            <w:gridSpan w:val="5"/>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35</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DESCRIPTION OF WARRANTS</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47</w:t>
            </w:r>
          </w:p>
        </w:tc>
      </w:tr>
      <w:tr>
        <w:trPr>
          <w:trHeight w:val="150"/>
        </w:trPr>
        <w:tc>
          <w:tcPr>
            <w:tcW w:w="70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3"/>
              </w:rPr>
              <w:t>TAXATION</w:t>
            </w:r>
          </w:p>
        </w:tc>
        <w:tc>
          <w:tcPr>
            <w:tcW w:w="1240" w:type="dxa"/>
            <w:vAlign w:val="bottom"/>
            <w:tcBorders>
              <w:top w:val="single" w:sz="8" w:color="0000EE"/>
            </w:tcBorders>
            <w:gridSpan w:val="9"/>
          </w:tcPr>
          <w:p>
            <w:pPr>
              <w:spacing w:after="0"/>
              <w:rPr>
                <w:sz w:val="13"/>
                <w:szCs w:val="13"/>
                <w:color w:val="auto"/>
              </w:rPr>
            </w:pPr>
          </w:p>
        </w:tc>
        <w:tc>
          <w:tcPr>
            <w:tcW w:w="6360" w:type="dxa"/>
            <w:vAlign w:val="bottom"/>
            <w:gridSpan w:val="13"/>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48</w:t>
            </w:r>
          </w:p>
        </w:tc>
      </w:tr>
      <w:tr>
        <w:trPr>
          <w:trHeight w:val="150"/>
        </w:trPr>
        <w:tc>
          <w:tcPr>
            <w:tcW w:w="114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7"/>
              </w:rPr>
              <w:t>LEGAL MATTERS</w:t>
            </w:r>
          </w:p>
        </w:tc>
        <w:tc>
          <w:tcPr>
            <w:tcW w:w="7160" w:type="dxa"/>
            <w:vAlign w:val="bottom"/>
            <w:gridSpan w:val="18"/>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49</w:t>
            </w:r>
          </w:p>
        </w:tc>
      </w:tr>
      <w:tr>
        <w:trPr>
          <w:trHeight w:val="150"/>
        </w:trPr>
        <w:tc>
          <w:tcPr>
            <w:tcW w:w="60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5"/>
              </w:rPr>
              <w:t>EXPERTS</w:t>
            </w:r>
          </w:p>
        </w:tc>
        <w:tc>
          <w:tcPr>
            <w:tcW w:w="7700" w:type="dxa"/>
            <w:vAlign w:val="bottom"/>
            <w:gridSpan w:val="23"/>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49</w:t>
            </w:r>
          </w:p>
        </w:tc>
      </w:tr>
      <w:tr>
        <w:trPr>
          <w:trHeight w:val="150"/>
        </w:trPr>
        <w:tc>
          <w:tcPr>
            <w:tcW w:w="252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5780" w:type="dxa"/>
            <w:vAlign w:val="bottom"/>
            <w:gridSpan w:val="10"/>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50</w:t>
            </w:r>
          </w:p>
        </w:tc>
      </w:tr>
      <w:tr>
        <w:trPr>
          <w:trHeight w:val="150"/>
        </w:trPr>
        <w:tc>
          <w:tcPr>
            <w:tcW w:w="304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60" w:type="dxa"/>
            <w:vAlign w:val="bottom"/>
            <w:gridSpan w:val="7"/>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51</w:t>
            </w:r>
          </w:p>
        </w:tc>
      </w:tr>
      <w:tr>
        <w:trPr>
          <w:trHeight w:val="150"/>
        </w:trPr>
        <w:tc>
          <w:tcPr>
            <w:tcW w:w="830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52</w:t>
            </w:r>
          </w:p>
        </w:tc>
      </w:tr>
      <w:tr>
        <w:trPr>
          <w:trHeight w:val="150"/>
        </w:trPr>
        <w:tc>
          <w:tcPr>
            <w:tcW w:w="3340" w:type="dxa"/>
            <w:vAlign w:val="bottom"/>
            <w:tcBorders>
              <w:top w:val="single" w:sz="8" w:color="0000EE"/>
            </w:tcBorders>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EXPENSES ASSOCIATED WITH REGISTRATION</w:t>
            </w:r>
          </w:p>
        </w:tc>
        <w:tc>
          <w:tcPr>
            <w:tcW w:w="4960" w:type="dxa"/>
            <w:vAlign w:val="bottom"/>
            <w:gridSpan w:val="6"/>
          </w:tcPr>
          <w:p>
            <w:pPr>
              <w:spacing w:after="0"/>
              <w:rPr>
                <w:sz w:val="13"/>
                <w:szCs w:val="13"/>
                <w:color w:val="auto"/>
              </w:rPr>
            </w:pP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53</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81" w:lineRule="exact"/>
        <w:rPr>
          <w:sz w:val="20"/>
          <w:szCs w:val="20"/>
          <w:color w:val="auto"/>
        </w:rPr>
      </w:pPr>
    </w:p>
    <w:p>
      <w:pPr>
        <w:ind w:left="1320" w:right="519" w:firstLine="346"/>
        <w:spacing w:after="0" w:line="264"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are part of an automatic registration statement that we have filed with the Securities and Exchange Commission (the “SEC”) as a “well-known seasoned issuer” as defined in Rule 405 under the Securities Act of 1933, as amended (the “Securities Act”). Under this shelf registration process, the Selling Shareholders may from time to time sell any combination of the securities as described in the accompanying prospectus in one or more offerings.</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 and the Selling Shareholders provide information to you about this offering of our ADSs in two separate documents that are bound together:</w:t>
      </w:r>
    </w:p>
    <w:p>
      <w:pPr>
        <w:spacing w:after="0" w:line="23" w:lineRule="exact"/>
        <w:rPr>
          <w:sz w:val="20"/>
          <w:szCs w:val="20"/>
          <w:color w:val="auto"/>
        </w:rPr>
      </w:pPr>
    </w:p>
    <w:p>
      <w:pPr>
        <w:ind w:left="1320" w:right="319" w:hanging="5"/>
        <w:spacing w:after="0" w:line="254" w:lineRule="auto"/>
        <w:tabs>
          <w:tab w:leader="none" w:pos="1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51"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supplement. We and the Selling Shareholders have not authorized anyone to provide you with different information. If anyone provides you with different or inconsistent information, you should not rely on it. We and the Selling Shareholders take no responsibility for, and can provide no assurance as to the reliability of, any other information that others may give you. The Selling Shareholders are not making an offer to sell these securities in any jurisdiction where the offer or sale is not permitted. You should assume that the information appearing in this prospectus supplement and the documents incorporated by reference in this prospectus supplement is accurate only as of the date of those respective documents. Our business, financial condition, results of operations and prospects may have changed since those dates.</w:t>
      </w:r>
    </w:p>
    <w:p>
      <w:pPr>
        <w:spacing w:after="0" w:line="147"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You should read this prospectus supplement, the accompanying base prospectus, and the documents incorporated by reference herein and therein and any free writing prospectus that we have authorized for use in connection with this offering in their entirety before making an investment decision. The distribution of this prospectus supplement and the offering of our ADSs in certain jurisdictions may be restricted by law. Persons outside the United States who come into possession of this prospectus supplement must inform themselves about, and observe any restrictions relating to, the offering of our ADSs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47" w:lineRule="exact"/>
        <w:rPr>
          <w:sz w:val="20"/>
          <w:szCs w:val="20"/>
          <w:color w:val="auto"/>
        </w:rPr>
      </w:pPr>
    </w:p>
    <w:p>
      <w:pPr>
        <w:jc w:val="both"/>
        <w:ind w:left="1320" w:right="339" w:firstLine="346"/>
        <w:spacing w:after="0" w:line="270" w:lineRule="auto"/>
        <w:rPr>
          <w:sz w:val="20"/>
          <w:szCs w:val="20"/>
          <w:color w:val="auto"/>
        </w:rPr>
      </w:pPr>
      <w:r>
        <w:rPr>
          <w:rFonts w:ascii="Times New Roman" w:cs="Times New Roman" w:eastAsia="Times New Roman" w:hAnsi="Times New Roman"/>
          <w:sz w:val="14"/>
          <w:szCs w:val="14"/>
          <w:color w:val="auto"/>
        </w:rPr>
        <w:t>This prospectus supplement, the accompanying base prospectus and the information incorporated herein or therein by reference contain market data, industry statistics and other data that have been obtained or compiled from information made available by independent third parties. We have not independently verified the accuracy and completeness of such data.</w:t>
      </w:r>
    </w:p>
    <w:p>
      <w:pPr>
        <w:spacing w:after="0" w:line="134" w:lineRule="exact"/>
        <w:rPr>
          <w:sz w:val="20"/>
          <w:szCs w:val="20"/>
          <w:color w:val="auto"/>
        </w:rPr>
      </w:pPr>
    </w:p>
    <w:p>
      <w:pPr>
        <w:ind w:left="1320" w:right="41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For investors outside the United States: </w:t>
      </w:r>
      <w:r>
        <w:rPr>
          <w:rFonts w:ascii="Times New Roman" w:cs="Times New Roman" w:eastAsia="Times New Roman" w:hAnsi="Times New Roman"/>
          <w:sz w:val="14"/>
          <w:szCs w:val="14"/>
          <w:color w:val="auto"/>
        </w:rPr>
        <w:t>We have not done anything that would permit the offering or possession or distribution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81" w:lineRule="exact"/>
        <w:rPr>
          <w:sz w:val="20"/>
          <w:szCs w:val="20"/>
          <w:color w:val="auto"/>
        </w:rPr>
      </w:pPr>
    </w:p>
    <w:p>
      <w:pPr>
        <w:ind w:left="1320" w:right="199" w:firstLine="346"/>
        <w:spacing w:after="0" w:line="211" w:lineRule="auto"/>
        <w:rPr>
          <w:sz w:val="20"/>
          <w:szCs w:val="20"/>
          <w:color w:val="auto"/>
        </w:rPr>
      </w:pPr>
      <w:r>
        <w:rPr>
          <w:rFonts w:ascii="Times New Roman" w:cs="Times New Roman" w:eastAsia="Times New Roman" w:hAnsi="Times New Roman"/>
          <w:sz w:val="14"/>
          <w:szCs w:val="14"/>
          <w:color w:val="auto"/>
        </w:rPr>
        <w:t xml:space="preserve">“Abivax” and the Abivax logo and other trademarks or service marks of Abivax SA appearing in this prospectus supplement are the property of Abivax SA. Solely for convenience, the trademarks, service marks and trade names referred to in this prospectus supplement are listed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w:t>
      </w:r>
    </w:p>
    <w:p>
      <w:pPr>
        <w:spacing w:after="0" w:line="1" w:lineRule="exact"/>
        <w:rPr>
          <w:sz w:val="20"/>
          <w:szCs w:val="20"/>
          <w:color w:val="auto"/>
        </w:rPr>
      </w:pPr>
    </w:p>
    <w:p>
      <w:pPr>
        <w:jc w:val="both"/>
        <w:ind w:left="1320" w:right="199" w:hanging="5"/>
        <w:spacing w:after="0" w:line="224" w:lineRule="auto"/>
        <w:tabs>
          <w:tab w:leader="none" w:pos="1459"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symbols, but such references should not be construed as any indicator that their respective owners will not assert, to the fullest extent under applicable law, their right thereto. All other trademarks, trade names and service marks appearing in this prospectus supplement are the property of their respective owners. We do not intend to use or display other companies’ trademarks and trade names to imply any relationship with, or endorsement or sponsorship of us by, any other companies.</w:t>
      </w:r>
    </w:p>
    <w:p>
      <w:pPr>
        <w:spacing w:after="0" w:line="10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4715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3545" cy="4715510"/>
                    </a:xfrm>
                    <a:prstGeom prst="rect">
                      <a:avLst/>
                    </a:prstGeom>
                    <a:noFill/>
                  </pic:spPr>
                </pic:pic>
              </a:graphicData>
            </a:graphic>
          </wp:anchor>
        </w:drawing>
      </w:r>
    </w:p>
    <w:p>
      <w:pPr>
        <w:spacing w:after="0" w:line="3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9" w:lineRule="exact"/>
        <w:rPr>
          <w:sz w:val="20"/>
          <w:szCs w:val="20"/>
          <w:color w:val="auto"/>
        </w:rPr>
      </w:pPr>
    </w:p>
    <w:p>
      <w:pPr>
        <w:ind w:left="1460" w:right="419" w:firstLine="335"/>
        <w:spacing w:after="0" w:line="260"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appearing elsewhere in this prospectus supplement or the accompanying base prospectus, or the documents incorporated by reference, and does not contain all of the information that you should consider before buying our securities. Because it is a summary, it may not contain all of the information that may be important to you. You should read this entire prospectus supplement and the accompanying base prospectus carefully, including the section entitled “Risk Factors” and the documents we have incorporated by reference in this prospectus supplement, along with our consolidated financial statements and related notes incorporated by reference in this prospectus supplement.</w:t>
      </w:r>
    </w:p>
    <w:p>
      <w:pPr>
        <w:spacing w:after="0" w:line="142" w:lineRule="exact"/>
        <w:rPr>
          <w:sz w:val="20"/>
          <w:szCs w:val="20"/>
          <w:color w:val="auto"/>
        </w:rPr>
      </w:pPr>
    </w:p>
    <w:p>
      <w:pPr>
        <w:ind w:left="1460" w:right="559" w:firstLine="335"/>
        <w:spacing w:after="0" w:line="290"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“Abivax,” “the Company,” “our company,” “we,” “us” and “our” refer to Abivax SA and its consolidated subsidiary, taken as a whole.</w:t>
      </w:r>
    </w:p>
    <w:p>
      <w:pPr>
        <w:spacing w:after="0" w:line="2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1460" w:right="399" w:firstLine="335"/>
        <w:spacing w:after="0" w:line="261" w:lineRule="auto"/>
        <w:rPr>
          <w:sz w:val="20"/>
          <w:szCs w:val="20"/>
          <w:color w:val="auto"/>
        </w:rPr>
      </w:pPr>
      <w:r>
        <w:rPr>
          <w:rFonts w:ascii="Times New Roman" w:cs="Times New Roman" w:eastAsia="Times New Roman" w:hAnsi="Times New Roman"/>
          <w:sz w:val="14"/>
          <w:szCs w:val="14"/>
          <w:color w:val="auto"/>
        </w:rPr>
        <w:t>We are a clinical-stage biotechnology company focused on developing therapeutics that harness the body’s natural regulatory mechanisms to stabilize the immune response in patients with chronic inflammatory diseases. We 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and Crohn’s disease.</w:t>
      </w:r>
    </w:p>
    <w:p>
      <w:pPr>
        <w:spacing w:after="0" w:line="143" w:lineRule="exact"/>
        <w:rPr>
          <w:sz w:val="20"/>
          <w:szCs w:val="20"/>
          <w:color w:val="auto"/>
        </w:rPr>
      </w:pPr>
    </w:p>
    <w:p>
      <w:pPr>
        <w:ind w:left="1460" w:right="339" w:firstLine="335"/>
        <w:spacing w:after="0" w:line="257" w:lineRule="auto"/>
        <w:rPr>
          <w:sz w:val="20"/>
          <w:szCs w:val="20"/>
          <w:color w:val="auto"/>
        </w:rPr>
      </w:pPr>
      <w:r>
        <w:rPr>
          <w:rFonts w:ascii="Times New Roman" w:cs="Times New Roman" w:eastAsia="Times New Roman" w:hAnsi="Times New Roman"/>
          <w:sz w:val="14"/>
          <w:szCs w:val="14"/>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23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Royalty Certificate Repurchase</w:t>
      </w:r>
    </w:p>
    <w:p>
      <w:pPr>
        <w:spacing w:after="0" w:line="96" w:lineRule="exact"/>
        <w:rPr>
          <w:sz w:val="20"/>
          <w:szCs w:val="20"/>
          <w:color w:val="auto"/>
        </w:rPr>
      </w:pPr>
    </w:p>
    <w:p>
      <w:pPr>
        <w:ind w:left="1460" w:right="459" w:firstLine="335"/>
        <w:spacing w:after="0" w:line="259" w:lineRule="auto"/>
        <w:rPr>
          <w:sz w:val="20"/>
          <w:szCs w:val="20"/>
          <w:color w:val="auto"/>
        </w:rPr>
      </w:pPr>
      <w:r>
        <w:rPr>
          <w:rFonts w:ascii="Times New Roman" w:cs="Times New Roman" w:eastAsia="Times New Roman" w:hAnsi="Times New Roman"/>
          <w:sz w:val="14"/>
          <w:szCs w:val="14"/>
          <w:color w:val="auto"/>
        </w:rPr>
        <w:t>On May 4, 2026, we entered into a purchase agreement (the “Purchase Agreement”) with the Selling Shareholders to repurchase all of the royalty certificates issued to them on September 7, 2022. We repurchased the royalty certificates in full by paying an aggregate consideration of $90.0 million, of which $45.0 million was paid in cash and $45.0 million was paid in shares through the issuance of 403,347 ordinary shares, including in the form of ADSs, to the Selling Shareholders in a private placement that was exempt from registration under the Securities Act. We are registering the offer and resale by Selling Shareholders of the ADSs issued to the Selling Shareholders pursuant to the Purchase Agreement to satisfy the registration rights we granted to the Selling Shareholders under the Purchase Agreement.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4" w:lineRule="exact"/>
        <w:rPr>
          <w:sz w:val="20"/>
          <w:szCs w:val="20"/>
          <w:color w:val="auto"/>
        </w:rPr>
      </w:pPr>
    </w:p>
    <w:p>
      <w:pPr>
        <w:ind w:left="1460" w:right="399" w:firstLine="335"/>
        <w:spacing w:after="0" w:line="290" w:lineRule="auto"/>
        <w:rPr>
          <w:sz w:val="20"/>
          <w:szCs w:val="20"/>
          <w:color w:val="auto"/>
        </w:rPr>
      </w:pPr>
      <w:r>
        <w:rPr>
          <w:rFonts w:ascii="Times New Roman" w:cs="Times New Roman" w:eastAsia="Times New Roman" w:hAnsi="Times New Roman"/>
          <w:sz w:val="14"/>
          <w:szCs w:val="14"/>
          <w:color w:val="auto"/>
        </w:rPr>
        <w:t xml:space="preserve">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and registered at the Paris Trade and Company Register on December 27, 2013 for a period of 99 years until December 22,</w:t>
      </w: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4405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3545" cy="4405630"/>
                    </a:xfrm>
                    <a:prstGeom prst="rect">
                      <a:avLst/>
                    </a:prstGeom>
                    <a:noFill/>
                  </pic:spPr>
                </pic:pic>
              </a:graphicData>
            </a:graphic>
          </wp:anchor>
        </w:drawing>
      </w:r>
    </w:p>
    <w:p>
      <w:pPr>
        <w:spacing w:after="0" w:line="373" w:lineRule="exact"/>
        <w:rPr>
          <w:sz w:val="20"/>
          <w:szCs w:val="20"/>
          <w:color w:val="auto"/>
        </w:rPr>
      </w:pPr>
    </w:p>
    <w:p>
      <w:pPr>
        <w:jc w:val="both"/>
        <w:ind w:left="1460" w:right="759"/>
        <w:spacing w:after="0" w:line="270" w:lineRule="auto"/>
        <w:rPr>
          <w:sz w:val="20"/>
          <w:szCs w:val="20"/>
          <w:color w:val="auto"/>
        </w:rPr>
      </w:pPr>
      <w:r>
        <w:rPr>
          <w:rFonts w:ascii="Times New Roman" w:cs="Times New Roman" w:eastAsia="Times New Roman" w:hAnsi="Times New Roman"/>
          <w:sz w:val="14"/>
          <w:szCs w:val="14"/>
          <w:color w:val="auto"/>
        </w:rPr>
        <w:t>2112, subject to extension or early dissolution, under the number 799 363 718. Our principal executive offices are located at 7-11 boulevard Haussmann 75009 Paris, France, and our telephone number is +33 (0) 1 53 83 09 63. We have one wholly owned subsidiary, Abivax LLC, a Delaware limited liability company, formed on March 20, 2023.</w:t>
      </w:r>
    </w:p>
    <w:p>
      <w:pPr>
        <w:spacing w:after="0" w:line="136" w:lineRule="exact"/>
        <w:rPr>
          <w:sz w:val="20"/>
          <w:szCs w:val="20"/>
          <w:color w:val="auto"/>
        </w:rPr>
      </w:pPr>
    </w:p>
    <w:p>
      <w:pPr>
        <w:ind w:left="1460" w:right="359" w:firstLine="335"/>
        <w:spacing w:after="0" w:line="270" w:lineRule="auto"/>
        <w:rPr>
          <w:sz w:val="20"/>
          <w:szCs w:val="20"/>
          <w:color w:val="auto"/>
        </w:rPr>
      </w:pPr>
      <w:r>
        <w:rPr>
          <w:rFonts w:ascii="Times New Roman" w:cs="Times New Roman" w:eastAsia="Times New Roman" w:hAnsi="Times New Roman"/>
          <w:sz w:val="14"/>
          <w:szCs w:val="14"/>
          <w:color w:val="auto"/>
        </w:rPr>
        <w:t>Our ADSs began trading on the Nasdaq Global Market in October 2023. We also maintain a website at www.abivax.com. The reference to our website is an inactive textual reference only and the information contained in, or that can be accessed through, our website or any other website cited in this prospectus supplement or the accompanying prospectus is not a part of this prospectus supplement or the accompanying prospectus.</w:t>
      </w:r>
    </w:p>
    <w:p>
      <w:pPr>
        <w:spacing w:after="0" w:line="2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6" w:lineRule="exact"/>
        <w:rPr>
          <w:sz w:val="20"/>
          <w:szCs w:val="20"/>
          <w:color w:val="auto"/>
        </w:rPr>
      </w:pPr>
    </w:p>
    <w:p>
      <w:pPr>
        <w:jc w:val="both"/>
        <w:ind w:left="1460" w:right="439" w:firstLine="335"/>
        <w:spacing w:after="0" w:line="270"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U.S. Jumpstart Our Business Startups Act of 2012 (the “JOBS Act”). As an emerging growth company, we may take advantage of specified reduced disclosure and other requirements that are otherwise applicable generally to public companies. These provisions include:</w:t>
      </w:r>
    </w:p>
    <w:p>
      <w:pPr>
        <w:spacing w:after="0" w:line="61" w:lineRule="exact"/>
        <w:rPr>
          <w:sz w:val="20"/>
          <w:szCs w:val="20"/>
          <w:color w:val="auto"/>
        </w:rPr>
      </w:pPr>
    </w:p>
    <w:p>
      <w:pPr>
        <w:ind w:left="2200" w:hanging="32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auditor attestation requirements of Section 404 of the Sarbanes-Oxley Act of 2002; and</w:t>
      </w:r>
    </w:p>
    <w:p>
      <w:pPr>
        <w:spacing w:after="0" w:line="104" w:lineRule="exact"/>
        <w:rPr>
          <w:rFonts w:ascii="Times New Roman" w:cs="Times New Roman" w:eastAsia="Times New Roman" w:hAnsi="Times New Roman"/>
          <w:sz w:val="14"/>
          <w:szCs w:val="14"/>
          <w:color w:val="auto"/>
        </w:rPr>
      </w:pPr>
    </w:p>
    <w:p>
      <w:pPr>
        <w:ind w:left="2200" w:right="359" w:hanging="328"/>
        <w:spacing w:after="0" w:line="270"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36" w:lineRule="exact"/>
        <w:rPr>
          <w:sz w:val="20"/>
          <w:szCs w:val="20"/>
          <w:color w:val="auto"/>
        </w:rPr>
      </w:pPr>
    </w:p>
    <w:p>
      <w:pPr>
        <w:ind w:left="1460" w:right="499" w:firstLine="335"/>
        <w:spacing w:after="0" w:line="259" w:lineRule="auto"/>
        <w:rPr>
          <w:sz w:val="20"/>
          <w:szCs w:val="20"/>
          <w:color w:val="auto"/>
        </w:rPr>
      </w:pPr>
      <w:r>
        <w:rPr>
          <w:rFonts w:ascii="Times New Roman" w:cs="Times New Roman" w:eastAsia="Times New Roman" w:hAnsi="Times New Roman"/>
          <w:sz w:val="14"/>
          <w:szCs w:val="14"/>
          <w:color w:val="auto"/>
        </w:rPr>
        <w:t>We may take advantage of these provisions until December 31, 2028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46" w:lineRule="exact"/>
        <w:rPr>
          <w:sz w:val="20"/>
          <w:szCs w:val="20"/>
          <w:color w:val="auto"/>
        </w:rPr>
      </w:pPr>
    </w:p>
    <w:p>
      <w:pPr>
        <w:ind w:left="1460" w:right="419" w:firstLine="335"/>
        <w:spacing w:after="0" w:line="258" w:lineRule="auto"/>
        <w:rPr>
          <w:sz w:val="20"/>
          <w:szCs w:val="20"/>
          <w:color w:val="auto"/>
        </w:rPr>
      </w:pPr>
      <w:r>
        <w:rPr>
          <w:rFonts w:ascii="Times New Roman" w:cs="Times New Roman" w:eastAsia="Times New Roman" w:hAnsi="Times New Roman"/>
          <w:sz w:val="14"/>
          <w:szCs w:val="14"/>
          <w:color w:val="auto"/>
        </w:rPr>
        <w:t>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International Financial Reporting Standards (“IFRS”) as issued by the International Accounting Standards Board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6" w:lineRule="exact"/>
        <w:rPr>
          <w:sz w:val="20"/>
          <w:szCs w:val="20"/>
          <w:color w:val="auto"/>
        </w:rPr>
      </w:pPr>
    </w:p>
    <w:p>
      <w:pPr>
        <w:ind w:left="1460" w:right="479" w:firstLine="335"/>
        <w:spacing w:after="0" w:line="270" w:lineRule="auto"/>
        <w:rPr>
          <w:sz w:val="20"/>
          <w:szCs w:val="20"/>
          <w:color w:val="auto"/>
        </w:rPr>
      </w:pPr>
      <w:r>
        <w:rPr>
          <w:rFonts w:ascii="Times New Roman" w:cs="Times New Roman" w:eastAsia="Times New Roman" w:hAnsi="Times New Roman"/>
          <w:sz w:val="14"/>
          <w:szCs w:val="14"/>
          <w:color w:val="auto"/>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our executive officers, members of our board of directors and our principal shareholders are exempt</w:t>
      </w:r>
    </w:p>
    <w:p>
      <w:pPr>
        <w:spacing w:after="0" w:line="2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1373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3545" cy="1373505"/>
                    </a:xfrm>
                    <a:prstGeom prst="rect">
                      <a:avLst/>
                    </a:prstGeom>
                    <a:noFill/>
                  </pic:spPr>
                </pic:pic>
              </a:graphicData>
            </a:graphic>
          </wp:anchor>
        </w:drawing>
      </w:r>
    </w:p>
    <w:p>
      <w:pPr>
        <w:spacing w:after="0" w:line="373" w:lineRule="exact"/>
        <w:rPr>
          <w:sz w:val="20"/>
          <w:szCs w:val="20"/>
          <w:color w:val="auto"/>
        </w:rPr>
      </w:pPr>
    </w:p>
    <w:p>
      <w:pPr>
        <w:ind w:left="1460" w:right="559"/>
        <w:spacing w:after="0" w:line="287" w:lineRule="auto"/>
        <w:rPr>
          <w:sz w:val="20"/>
          <w:szCs w:val="20"/>
          <w:color w:val="auto"/>
        </w:rPr>
      </w:pPr>
      <w:r>
        <w:rPr>
          <w:rFonts w:ascii="Times New Roman" w:cs="Times New Roman" w:eastAsia="Times New Roman" w:hAnsi="Times New Roman"/>
          <w:sz w:val="14"/>
          <w:szCs w:val="14"/>
          <w:color w:val="auto"/>
        </w:rPr>
        <w:t>from the “short-swing” profit recovery provisions, and our principal shareholders are exempt from the reporting provisions, of Section 16 of the Exchange Act and the rules under the Exchange Act with respect to their purchases and sales of our securities.</w:t>
      </w:r>
    </w:p>
    <w:p>
      <w:pPr>
        <w:spacing w:after="0" w:line="124" w:lineRule="exact"/>
        <w:rPr>
          <w:sz w:val="20"/>
          <w:szCs w:val="20"/>
          <w:color w:val="auto"/>
        </w:rPr>
      </w:pPr>
    </w:p>
    <w:p>
      <w:pPr>
        <w:ind w:left="1460" w:right="459" w:firstLine="335"/>
        <w:spacing w:after="0" w:line="270" w:lineRule="auto"/>
        <w:rPr>
          <w:sz w:val="20"/>
          <w:szCs w:val="20"/>
          <w:color w:val="auto"/>
        </w:rPr>
      </w:pPr>
      <w:r>
        <w:rPr>
          <w:rFonts w:ascii="Times New Roman" w:cs="Times New Roman" w:eastAsia="Times New Roman" w:hAnsi="Times New Roman"/>
          <w:sz w:val="14"/>
          <w:szCs w:val="14"/>
          <w:color w:val="auto"/>
        </w:rPr>
        <w:t>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36" w:lineRule="exact"/>
        <w:rPr>
          <w:sz w:val="20"/>
          <w:szCs w:val="20"/>
          <w:color w:val="auto"/>
        </w:rPr>
      </w:pPr>
    </w:p>
    <w:p>
      <w:pPr>
        <w:ind w:left="1460" w:right="619" w:firstLine="335"/>
        <w:spacing w:after="0" w:line="264"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1966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3545" cy="1966595"/>
                    </a:xfrm>
                    <a:prstGeom prst="rect">
                      <a:avLst/>
                    </a:prstGeom>
                    <a:noFill/>
                  </pic:spPr>
                </pic:pic>
              </a:graphicData>
            </a:graphic>
          </wp:anchor>
        </w:drawing>
      </w:r>
    </w:p>
    <w:p>
      <w:pPr>
        <w:spacing w:after="0" w:line="3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Securities registered under this Prospectus Supplement Up to 403,347 American Depositary Shares, each representing one ordinary share.</w:t>
      </w:r>
    </w:p>
    <w:p>
      <w:pPr>
        <w:spacing w:after="0" w:line="115"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 of Distribution</w:t>
            </w: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The selling shareholders will determine when and how they will sell the American</w:t>
            </w:r>
          </w:p>
        </w:tc>
      </w:tr>
      <w:tr>
        <w:trPr>
          <w:trHeight w:val="170"/>
        </w:trPr>
        <w:tc>
          <w:tcPr>
            <w:tcW w:w="2280" w:type="dxa"/>
            <w:vAlign w:val="bottom"/>
          </w:tcPr>
          <w:p>
            <w:pPr>
              <w:spacing w:after="0"/>
              <w:rPr>
                <w:sz w:val="14"/>
                <w:szCs w:val="14"/>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Depositary Shares offered in this prospectus supplement, as described in “Plan of</w:t>
            </w:r>
          </w:p>
        </w:tc>
      </w:tr>
      <w:tr>
        <w:trPr>
          <w:trHeight w:val="184"/>
        </w:trPr>
        <w:tc>
          <w:tcPr>
            <w:tcW w:w="2280" w:type="dxa"/>
            <w:vAlign w:val="bottom"/>
          </w:tcPr>
          <w:p>
            <w:pPr>
              <w:spacing w:after="0"/>
              <w:rPr>
                <w:sz w:val="16"/>
                <w:szCs w:val="16"/>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Distribution.”</w:t>
            </w:r>
          </w:p>
        </w:tc>
      </w:tr>
      <w:tr>
        <w:trPr>
          <w:trHeight w:val="25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We will not receive any proceeds from the sale of the American Depositary Shares by the</w:t>
            </w:r>
          </w:p>
        </w:tc>
      </w:tr>
      <w:tr>
        <w:trPr>
          <w:trHeight w:val="184"/>
        </w:trPr>
        <w:tc>
          <w:tcPr>
            <w:tcW w:w="2280" w:type="dxa"/>
            <w:vAlign w:val="bottom"/>
          </w:tcPr>
          <w:p>
            <w:pPr>
              <w:spacing w:after="0"/>
              <w:rPr>
                <w:sz w:val="16"/>
                <w:szCs w:val="16"/>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selling shareholders.</w:t>
            </w:r>
          </w:p>
        </w:tc>
      </w:tr>
      <w:tr>
        <w:trPr>
          <w:trHeight w:val="25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Before deciding whether to invest in our ordinary shares (including in the form of ADSs),</w:t>
            </w:r>
          </w:p>
        </w:tc>
      </w:tr>
      <w:tr>
        <w:trPr>
          <w:trHeight w:val="170"/>
        </w:trPr>
        <w:tc>
          <w:tcPr>
            <w:tcW w:w="2280" w:type="dxa"/>
            <w:vAlign w:val="bottom"/>
          </w:tcPr>
          <w:p>
            <w:pPr>
              <w:spacing w:after="0"/>
              <w:rPr>
                <w:sz w:val="14"/>
                <w:szCs w:val="14"/>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you should carefully consider the risks described under “Risk Factors” beginning on page</w:t>
            </w:r>
          </w:p>
        </w:tc>
      </w:tr>
      <w:tr>
        <w:trPr>
          <w:trHeight w:val="170"/>
        </w:trPr>
        <w:tc>
          <w:tcPr>
            <w:tcW w:w="2280" w:type="dxa"/>
            <w:vAlign w:val="bottom"/>
          </w:tcPr>
          <w:p>
            <w:pPr>
              <w:spacing w:after="0"/>
              <w:rPr>
                <w:sz w:val="14"/>
                <w:szCs w:val="14"/>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S-4 of this prospectus supplement, as well as the other information included or</w:t>
            </w:r>
          </w:p>
        </w:tc>
      </w:tr>
      <w:tr>
        <w:trPr>
          <w:trHeight w:val="170"/>
        </w:trPr>
        <w:tc>
          <w:tcPr>
            <w:tcW w:w="2280" w:type="dxa"/>
            <w:vAlign w:val="bottom"/>
          </w:tcPr>
          <w:p>
            <w:pPr>
              <w:spacing w:after="0"/>
              <w:rPr>
                <w:sz w:val="14"/>
                <w:szCs w:val="14"/>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incorporated by reference into this prospectus supplement and the accompanying</w:t>
            </w:r>
          </w:p>
        </w:tc>
      </w:tr>
      <w:tr>
        <w:trPr>
          <w:trHeight w:val="184"/>
        </w:trPr>
        <w:tc>
          <w:tcPr>
            <w:tcW w:w="2280" w:type="dxa"/>
            <w:vAlign w:val="bottom"/>
          </w:tcPr>
          <w:p>
            <w:pPr>
              <w:spacing w:after="0"/>
              <w:rPr>
                <w:sz w:val="16"/>
                <w:szCs w:val="16"/>
                <w:color w:val="auto"/>
              </w:rPr>
            </w:pP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prospectus, including our financial statements and the notes thereto.</w:t>
            </w:r>
          </w:p>
        </w:tc>
      </w:tr>
      <w:tr>
        <w:trPr>
          <w:trHeight w:val="265"/>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Nasdaq Symbol</w:t>
            </w:r>
          </w:p>
        </w:tc>
        <w:tc>
          <w:tcPr>
            <w:tcW w:w="6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“ABVX”</w:t>
            </w:r>
          </w:p>
        </w:tc>
      </w:tr>
      <w:tr>
        <w:trPr>
          <w:trHeight w:val="144"/>
        </w:trPr>
        <w:tc>
          <w:tcPr>
            <w:tcW w:w="2280" w:type="dxa"/>
            <w:vAlign w:val="bottom"/>
            <w:tcBorders>
              <w:bottom w:val="single" w:sz="8" w:color="auto"/>
            </w:tcBorders>
          </w:tcPr>
          <w:p>
            <w:pPr>
              <w:spacing w:after="0"/>
              <w:rPr>
                <w:sz w:val="12"/>
                <w:szCs w:val="12"/>
                <w:color w:val="auto"/>
              </w:rPr>
            </w:pPr>
          </w:p>
        </w:tc>
        <w:tc>
          <w:tcPr>
            <w:tcW w:w="6380" w:type="dxa"/>
            <w:vAlign w:val="bottom"/>
            <w:tcBorders>
              <w:bottom w:val="single" w:sz="8" w:color="auto"/>
            </w:tcBorders>
          </w:tcPr>
          <w:p>
            <w:pPr>
              <w:spacing w:after="0"/>
              <w:rPr>
                <w:sz w:val="12"/>
                <w:szCs w:val="12"/>
                <w:color w:val="auto"/>
              </w:rPr>
            </w:pPr>
          </w:p>
        </w:tc>
      </w:tr>
      <w:tr>
        <w:trPr>
          <w:trHeight w:val="281"/>
        </w:trPr>
        <w:tc>
          <w:tcPr>
            <w:tcW w:w="2280" w:type="dxa"/>
            <w:vAlign w:val="bottom"/>
          </w:tcPr>
          <w:p>
            <w:pPr>
              <w:spacing w:after="0"/>
              <w:rPr>
                <w:sz w:val="24"/>
                <w:szCs w:val="24"/>
                <w:color w:val="auto"/>
              </w:rPr>
            </w:pPr>
          </w:p>
        </w:tc>
        <w:tc>
          <w:tcPr>
            <w:tcW w:w="638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S-4</w:t>
            </w:r>
          </w:p>
        </w:tc>
      </w:tr>
    </w:tbl>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9" w:lineRule="exact"/>
        <w:rPr>
          <w:sz w:val="20"/>
          <w:szCs w:val="20"/>
          <w:color w:val="auto"/>
        </w:rPr>
      </w:pPr>
    </w:p>
    <w:p>
      <w:pPr>
        <w:ind w:left="1320" w:right="179" w:firstLine="346"/>
        <w:spacing w:after="0" w:line="257" w:lineRule="auto"/>
        <w:rPr>
          <w:sz w:val="20"/>
          <w:szCs w:val="20"/>
          <w:color w:val="auto"/>
        </w:rPr>
      </w:pPr>
      <w:r>
        <w:rPr>
          <w:rFonts w:ascii="Times New Roman" w:cs="Times New Roman" w:eastAsia="Times New Roman" w:hAnsi="Times New Roman"/>
          <w:sz w:val="14"/>
          <w:szCs w:val="14"/>
          <w:i w:val="1"/>
          <w:iCs w:val="1"/>
          <w:color w:val="auto"/>
        </w:rPr>
        <w:t>Investing in our ordinary shares (including ordinary shares in the form of ADSs) involves a high degree of risk. You should carefully consider the risks and uncertainties described below, as well as general economic and business risks, including those set forth in the section titled “Risk Factors” included in our Annual Report on Form 20-F for the year ended December 31, 2025 incorporated by reference herein, together with all of the other information in this prospectus supplement, the accompanying prospectus, and the documents incorporated by reference herein,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 Additional risks not presently known to us or that we currently believe are immaterial may also significantly impair our business operations. Please also read carefully the section below titled “Cautionary Note Regarding Forward-Looking Statements.”</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4" w:lineRule="exact"/>
        <w:rPr>
          <w:sz w:val="20"/>
          <w:szCs w:val="20"/>
          <w:color w:val="auto"/>
        </w:rPr>
      </w:pPr>
    </w:p>
    <w:p>
      <w:pPr>
        <w:ind w:left="1320" w:right="3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number of our securities may be sold in the market following the effective date of the registration statement of which this prospectus forms a part, which may depress the market price for our ADSs.</w:t>
      </w:r>
    </w:p>
    <w:p>
      <w:pPr>
        <w:spacing w:after="0" w:line="122" w:lineRule="exact"/>
        <w:rPr>
          <w:sz w:val="20"/>
          <w:szCs w:val="20"/>
          <w:color w:val="auto"/>
        </w:rPr>
      </w:pPr>
    </w:p>
    <w:p>
      <w:pPr>
        <w:ind w:left="1320" w:right="439"/>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our securities in the public market following the effective date of the registration statement of which this prospectus forms a part could cause the market price of our ordinary shares and/or ADSs to decline.</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ind w:left="1320" w:right="239" w:firstLine="346"/>
        <w:spacing w:after="0" w:line="257"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contain “forward-looking statements” within the meaning of applicable federal securities laws, including Section 27A of the Securities Act and Section 21E of the Securities Exchange Act of 1934, as amended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supplement, the accompanying prospectus and the documents incorporated by reference, the words “anticipate,” “believe,” “can,” “could,” “estimate,” “expect,” “intend,” “is designed to,” “may,” “might,” “plan,” “potential,” “predict,” “objective,” “shall,” “should,” “will,” or the negative of these and similar expressions identify forward-looking statements. Forward-looking statements include, but are not limited to, statements about:</w:t>
      </w:r>
    </w:p>
    <w:p>
      <w:pPr>
        <w:spacing w:after="0" w:line="74" w:lineRule="exact"/>
        <w:rPr>
          <w:sz w:val="20"/>
          <w:szCs w:val="20"/>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attaining, maintaining and expanding marketing authorization for our drug candidate, obefazimod;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clinical advantages of obefazimod and our future drug candidates;</w:t>
      </w:r>
    </w:p>
    <w:p>
      <w:pPr>
        <w:spacing w:after="0" w:line="104" w:lineRule="exact"/>
        <w:rPr>
          <w:rFonts w:ascii="Times New Roman" w:cs="Times New Roman" w:eastAsia="Times New Roman" w:hAnsi="Times New Roman"/>
          <w:sz w:val="14"/>
          <w:szCs w:val="14"/>
          <w:color w:val="auto"/>
        </w:rPr>
      </w:pPr>
    </w:p>
    <w:p>
      <w:pPr>
        <w:ind w:left="2080" w:right="219" w:hanging="340"/>
        <w:spacing w:after="0" w:line="287"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preclinical and clinical trials (and those conducted by third parties) and other research and development programs;</w:t>
      </w:r>
    </w:p>
    <w:p>
      <w:pPr>
        <w:spacing w:after="0" w:line="49" w:lineRule="exact"/>
        <w:rPr>
          <w:rFonts w:ascii="Times New Roman" w:cs="Times New Roman" w:eastAsia="Times New Roman" w:hAnsi="Times New Roman"/>
          <w:sz w:val="14"/>
          <w:szCs w:val="14"/>
          <w:color w:val="auto"/>
        </w:rPr>
      </w:pPr>
    </w:p>
    <w:p>
      <w:pPr>
        <w:ind w:left="2080" w:right="619" w:hanging="340"/>
        <w:spacing w:after="0" w:line="287"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availability of data from our clinical trials, including our Phase 3 maintenance trial of obefazimod in moderately to severely active ulcerative colitis and Phase 2b trial of obefazimod in Crohn’s disease;</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advance drug candidates through clinical development;</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meetings and filings;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obtain and maintain regulatory approvals for obefazimod and any of our future drug candidates;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drug candidates from our preclinical studies;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sales and marketing capabilities and transition into a commercial-stage company;</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as well as innovations by new and existing competitors in our industry;</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strategic relationships or partnerships;</w:t>
      </w:r>
    </w:p>
    <w:p>
      <w:pPr>
        <w:spacing w:after="0" w:line="104" w:lineRule="exact"/>
        <w:rPr>
          <w:rFonts w:ascii="Times New Roman" w:cs="Times New Roman" w:eastAsia="Times New Roman" w:hAnsi="Times New Roman"/>
          <w:sz w:val="14"/>
          <w:szCs w:val="14"/>
          <w:color w:val="auto"/>
        </w:rPr>
      </w:pPr>
    </w:p>
    <w:p>
      <w:pPr>
        <w:ind w:left="2080" w:right="359" w:hanging="340"/>
        <w:spacing w:after="0" w:line="287"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revenues, capital requirements and the need for additional financing;</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w:t>
      </w:r>
    </w:p>
    <w:p>
      <w:pPr>
        <w:spacing w:after="0" w:line="104" w:lineRule="exact"/>
        <w:rPr>
          <w:rFonts w:ascii="Times New Roman" w:cs="Times New Roman" w:eastAsia="Times New Roman" w:hAnsi="Times New Roman"/>
          <w:sz w:val="14"/>
          <w:szCs w:val="14"/>
          <w:color w:val="auto"/>
        </w:rPr>
      </w:pPr>
    </w:p>
    <w:p>
      <w:pPr>
        <w:ind w:left="2080" w:right="339" w:hanging="340"/>
        <w:spacing w:after="0" w:line="270"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the global economy or global supply chain, including financial and credit market fluctuations, international trade relations, political turmoil, natural catastrophes, warfare (such as the Russia-Ukraine war or the conflict in the Middle East), and terrorist attacks; and</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in our annual report under the caption “Risk Factors.”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19" w:firstLine="346"/>
        <w:spacing w:after="0" w:line="255" w:lineRule="auto"/>
        <w:rPr>
          <w:sz w:val="20"/>
          <w:szCs w:val="20"/>
          <w:color w:val="auto"/>
        </w:rPr>
      </w:pPr>
      <w:r>
        <w:rPr>
          <w:rFonts w:ascii="Times New Roman" w:cs="Times New Roman" w:eastAsia="Times New Roman" w:hAnsi="Times New Roman"/>
          <w:sz w:val="14"/>
          <w:szCs w:val="14"/>
          <w:color w:val="auto"/>
        </w:rPr>
        <w:t>Such statements are subject to risks and uncertainties, and actual results may differ materially from those expressed or implied in the forward-looking statements due to various factors, including, but not limited to, those identified under the caption “Risk Factors” in this prospectus supplement, the accompanying prospectus and the documents incorporated by reference, including our Annual Report on Form 20-F for the year ended December 31, 2025. Many of these risks, uncertainties and assumptions are beyond our control, and may cause our actual results and performance to differ materially from our expectations. As a result of these factors, we cannot assure you that the forward-looking statements in this prospectus supplement, the accompanying prospectus and the documents incorporated by reference will prove to be accurate, and you should not place undue reliance on any forward-looking statements contained or incorporated by reference in this prospectus supplement, the accompanying prospectus and the documents incorporated by reference.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supplement, the accompanying prospectus and the documents incorporated by reference, as applicable,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9" w:lineRule="exact"/>
        <w:rPr>
          <w:sz w:val="20"/>
          <w:szCs w:val="20"/>
          <w:color w:val="auto"/>
        </w:rPr>
      </w:pPr>
    </w:p>
    <w:p>
      <w:pPr>
        <w:jc w:val="both"/>
        <w:ind w:left="1320" w:right="359" w:firstLine="346"/>
        <w:spacing w:after="0" w:line="270" w:lineRule="auto"/>
        <w:rPr>
          <w:sz w:val="20"/>
          <w:szCs w:val="20"/>
          <w:color w:val="auto"/>
        </w:rPr>
      </w:pPr>
      <w:r>
        <w:rPr>
          <w:rFonts w:ascii="Times New Roman" w:cs="Times New Roman" w:eastAsia="Times New Roman" w:hAnsi="Times New Roman"/>
          <w:sz w:val="14"/>
          <w:szCs w:val="14"/>
          <w:color w:val="auto"/>
        </w:rPr>
        <w:t>You should read this prospectus supplement, the accompanying prospectus and the documents we incorporate by reference completely and with the understanding that our actual future results may be materially different from what we expect. We qualify all of our forward-looking statements by these cautionary statements.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ind w:left="1320" w:right="519" w:firstLine="346"/>
        <w:spacing w:after="0" w:line="270" w:lineRule="auto"/>
        <w:rPr>
          <w:sz w:val="20"/>
          <w:szCs w:val="20"/>
          <w:color w:val="auto"/>
        </w:rPr>
      </w:pPr>
      <w:r>
        <w:rPr>
          <w:rFonts w:ascii="Times New Roman" w:cs="Times New Roman" w:eastAsia="Times New Roman" w:hAnsi="Times New Roman"/>
          <w:sz w:val="14"/>
          <w:szCs w:val="14"/>
          <w:color w:val="auto"/>
        </w:rPr>
        <w:t>The proceeds from the sale of ADSs offered pursuant to this prospectus supplement are solely for the accounts of the Selling Shareholders. Accordingly, we will not receive any of the proceeds from the sale of ADSs offered by this prospectus supplement. See “Selling Shareholders” and “Plan of Distribution” below.</w:t>
      </w:r>
    </w:p>
    <w:p>
      <w:pPr>
        <w:spacing w:after="0" w:line="136" w:lineRule="exact"/>
        <w:rPr>
          <w:sz w:val="20"/>
          <w:szCs w:val="20"/>
          <w:color w:val="auto"/>
        </w:rPr>
      </w:pPr>
    </w:p>
    <w:p>
      <w:pPr>
        <w:ind w:left="1320" w:right="219" w:firstLine="346"/>
        <w:spacing w:after="0" w:line="270" w:lineRule="auto"/>
        <w:rPr>
          <w:sz w:val="20"/>
          <w:szCs w:val="20"/>
          <w:color w:val="auto"/>
        </w:rPr>
      </w:pPr>
      <w:r>
        <w:rPr>
          <w:rFonts w:ascii="Times New Roman" w:cs="Times New Roman" w:eastAsia="Times New Roman" w:hAnsi="Times New Roman"/>
          <w:sz w:val="14"/>
          <w:szCs w:val="14"/>
          <w:color w:val="auto"/>
        </w:rPr>
        <w:t>The Selling Shareholders will pay any respective underwriting discounts and commissions and expenses incurred by the Selling Shareholders for brokerage, accounting, tax or legal services or any other expenses incurred by the Selling Shareholders in disposing of ADSs. We are not able to provide a reasonable estimate of any expenses that may be incurred by the Selling Shareholders in connection with any sale of the ADSs offered hereby.</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81" w:lineRule="exact"/>
        <w:rPr>
          <w:sz w:val="20"/>
          <w:szCs w:val="20"/>
          <w:color w:val="auto"/>
        </w:rPr>
      </w:pPr>
    </w:p>
    <w:p>
      <w:pPr>
        <w:ind w:left="1320" w:right="239" w:firstLine="346"/>
        <w:spacing w:after="0" w:line="257" w:lineRule="auto"/>
        <w:rPr>
          <w:sz w:val="20"/>
          <w:szCs w:val="20"/>
          <w:color w:val="auto"/>
        </w:rPr>
      </w:pPr>
      <w:r>
        <w:rPr>
          <w:rFonts w:ascii="Times New Roman" w:cs="Times New Roman" w:eastAsia="Times New Roman" w:hAnsi="Times New Roman"/>
          <w:sz w:val="14"/>
          <w:szCs w:val="14"/>
          <w:color w:val="auto"/>
        </w:rPr>
        <w:t>This prospectus supplement relates to the resale by the Selling Shareholders from time to time of up to 403,347 ADSs issued to the Selling Shareholders pursuant to the Purchase Agreement. The ADSs were issued as partial consideration for the repurchase by the Company of the royalty certificates issued to the Selling Shareholders on September 7, 2022. We are registering the offer and resale by the Selling Shareholders of our ADSs owned by the Selling Shareholders issued pursuant to the Purchase Agreement to satisfy the registration rights we granted to them under the Purchase Agreement. We issued the ADSs in a private placement that was exempt from registration under the Securities Act, pursuant to Section 4(a)(2) and/or Regulation S. The Selling Shareholders may from time to time offer and sell some, all or none of their ADSs set forth below pursuant to this prospectus supplement. As used in this prospectus supplement, the term “Selling Shareholders” includes the Selling Shareholders listed in the table below, together with any additional Selling Shareholder listed in any subsequent amendment to this prospectus supplement, and their pledgees, donees, transferees, distributees, assignees, successors, designees and others who later come to hold any of the Selling Shareholders’ interests in the ADSs.</w:t>
      </w:r>
    </w:p>
    <w:p>
      <w:pPr>
        <w:spacing w:after="0" w:line="146"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The information set forth in the table below is based upon information obtained from the Selling Shareholders or in Schedules 13G or 13D and other public documents filed with the SEC. Beneficial ownership of the Selling Shareholders is determined in accordance with Rule 13d-3(d) under the Exchange Act. The number of ADSs being offered and the number of ordinary shares beneficially owned after this offering assume the sale of all of the ADSs being offered by the Selling Shareholders pursuant to this prospectus supplement. The percentage of shares beneficially owned after the offering is based on 79,291,188 ordinary shares outstanding as of March 31, 2026, after giving effect to the issuance of 403,347 ordinary shares issued on May 7, 2026 pursuant to the Purchase Agreement. The Selling Shareholder may sell all, some or none of their ADSs in this offering. See the section “Plan of Distribution.”</w:t>
      </w:r>
    </w:p>
    <w:p>
      <w:pPr>
        <w:spacing w:after="0" w:line="147" w:lineRule="exact"/>
        <w:rPr>
          <w:sz w:val="20"/>
          <w:szCs w:val="20"/>
          <w:color w:val="auto"/>
        </w:rPr>
      </w:pPr>
    </w:p>
    <w:p>
      <w:pPr>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We believe, based on the information furnished to us, that the Selling Shareholders have sole voting and investment power with respect to all ADSs that they beneficially own, respectively, subject to applicable community property laws, except as set forth below. Based on the information provided to us by the Selling Shareholders, no Selling Shareholder is a broker-dealer or an affiliate of a broker dealer.</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Please see the section titled “Plan of Distribution” for further information regarding the Selling Shareholders’ method of distributing these shares.</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28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2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28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3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0"/>
                <w:szCs w:val="10"/>
                <w:color w:val="auto"/>
              </w:rPr>
            </w:pPr>
          </w:p>
        </w:tc>
        <w:tc>
          <w:tcPr>
            <w:tcW w:w="88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40" w:type="dxa"/>
            <w:vAlign w:val="bottom"/>
            <w:gridSpan w:val="2"/>
          </w:tcPr>
          <w:p>
            <w:pPr>
              <w:jc w:val="center"/>
              <w:ind w:left="317"/>
              <w:spacing w:after="0" w:line="117" w:lineRule="exact"/>
              <w:rPr>
                <w:sz w:val="20"/>
                <w:szCs w:val="20"/>
                <w:color w:val="auto"/>
              </w:rPr>
            </w:pPr>
            <w:r>
              <w:rPr>
                <w:rFonts w:ascii="Times New Roman" w:cs="Times New Roman" w:eastAsia="Times New Roman" w:hAnsi="Times New Roman"/>
                <w:sz w:val="11"/>
                <w:szCs w:val="11"/>
                <w:b w:val="1"/>
                <w:bCs w:val="1"/>
                <w:color w:val="auto"/>
              </w:rPr>
              <w:t>Owned Prior</w:t>
            </w:r>
          </w:p>
        </w:tc>
        <w:tc>
          <w:tcPr>
            <w:tcW w:w="28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Owned</w:t>
            </w: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3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280" w:type="dxa"/>
            <w:vAlign w:val="bottom"/>
          </w:tcPr>
          <w:p>
            <w:pPr>
              <w:spacing w:after="0"/>
              <w:rPr>
                <w:sz w:val="10"/>
                <w:szCs w:val="10"/>
                <w:color w:val="auto"/>
              </w:rPr>
            </w:pPr>
          </w:p>
        </w:tc>
        <w:tc>
          <w:tcPr>
            <w:tcW w:w="880" w:type="dxa"/>
            <w:vAlign w:val="bottom"/>
            <w:gridSpan w:val="2"/>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0" w:type="dxa"/>
            <w:vAlign w:val="bottom"/>
          </w:tcPr>
          <w:p>
            <w:pPr>
              <w:spacing w:after="0"/>
              <w:rPr>
                <w:sz w:val="1"/>
                <w:szCs w:val="1"/>
                <w:color w:val="auto"/>
              </w:rPr>
            </w:pPr>
          </w:p>
        </w:tc>
      </w:tr>
      <w:tr>
        <w:trPr>
          <w:trHeight w:val="117"/>
        </w:trPr>
        <w:tc>
          <w:tcPr>
            <w:tcW w:w="1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Shareholder</w:t>
            </w:r>
          </w:p>
        </w:tc>
        <w:tc>
          <w:tcPr>
            <w:tcW w:w="144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to this</w:t>
            </w:r>
          </w:p>
        </w:tc>
        <w:tc>
          <w:tcPr>
            <w:tcW w:w="28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Prior to this</w:t>
            </w:r>
          </w:p>
        </w:tc>
        <w:tc>
          <w:tcPr>
            <w:tcW w:w="860" w:type="dxa"/>
            <w:vAlign w:val="bottom"/>
            <w:gridSpan w:val="2"/>
          </w:tcPr>
          <w:p>
            <w:pPr>
              <w:jc w:val="center"/>
              <w:ind w:left="217"/>
              <w:spacing w:after="0" w:line="117" w:lineRule="exact"/>
              <w:rPr>
                <w:sz w:val="20"/>
                <w:szCs w:val="20"/>
                <w:color w:val="auto"/>
              </w:rPr>
            </w:pPr>
            <w:r>
              <w:rPr>
                <w:rFonts w:ascii="Times New Roman" w:cs="Times New Roman" w:eastAsia="Times New Roman" w:hAnsi="Times New Roman"/>
                <w:sz w:val="11"/>
                <w:szCs w:val="11"/>
                <w:b w:val="1"/>
                <w:bCs w:val="1"/>
                <w:color w:val="auto"/>
              </w:rPr>
              <w:t>ADSs Being</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Shares Being</w:t>
            </w:r>
          </w:p>
        </w:tc>
        <w:tc>
          <w:tcPr>
            <w:tcW w:w="920" w:type="dxa"/>
            <w:vAlign w:val="bottom"/>
            <w:gridSpan w:val="2"/>
          </w:tcPr>
          <w:p>
            <w:pPr>
              <w:jc w:val="center"/>
              <w:ind w:left="239"/>
              <w:spacing w:after="0" w:line="117"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280" w:type="dxa"/>
            <w:vAlign w:val="bottom"/>
          </w:tcPr>
          <w:p>
            <w:pPr>
              <w:spacing w:after="0"/>
              <w:rPr>
                <w:sz w:val="10"/>
                <w:szCs w:val="10"/>
                <w:color w:val="auto"/>
              </w:rPr>
            </w:pPr>
          </w:p>
        </w:tc>
        <w:tc>
          <w:tcPr>
            <w:tcW w:w="88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Shares After</w:t>
            </w:r>
          </w:p>
        </w:tc>
        <w:tc>
          <w:tcPr>
            <w:tcW w:w="0" w:type="dxa"/>
            <w:vAlign w:val="bottom"/>
          </w:tcPr>
          <w:p>
            <w:pPr>
              <w:spacing w:after="0"/>
              <w:rPr>
                <w:sz w:val="1"/>
                <w:szCs w:val="1"/>
                <w:color w:val="auto"/>
              </w:rPr>
            </w:pPr>
          </w:p>
        </w:tc>
      </w:tr>
      <w:tr>
        <w:trPr>
          <w:trHeight w:val="145"/>
        </w:trPr>
        <w:tc>
          <w:tcPr>
            <w:tcW w:w="1400" w:type="dxa"/>
            <w:vAlign w:val="bottom"/>
            <w:tcBorders>
              <w:bottom w:val="single" w:sz="8" w:color="auto"/>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920" w:type="dxa"/>
            <w:vAlign w:val="bottom"/>
            <w:gridSpan w:val="2"/>
          </w:tcPr>
          <w:p>
            <w:pPr>
              <w:jc w:val="center"/>
              <w:ind w:left="197"/>
              <w:spacing w:after="0" w:line="125" w:lineRule="exact"/>
              <w:rPr>
                <w:sz w:val="20"/>
                <w:szCs w:val="20"/>
                <w:color w:val="auto"/>
              </w:rPr>
            </w:pPr>
            <w:r>
              <w:rPr>
                <w:rFonts w:ascii="Times New Roman" w:cs="Times New Roman" w:eastAsia="Times New Roman" w:hAnsi="Times New Roman"/>
                <w:sz w:val="11"/>
                <w:szCs w:val="11"/>
                <w:b w:val="1"/>
                <w:bCs w:val="1"/>
                <w:color w:val="auto"/>
              </w:rPr>
              <w:t>Offering (%)</w:t>
            </w:r>
          </w:p>
        </w:tc>
        <w:tc>
          <w:tcPr>
            <w:tcW w:w="280" w:type="dxa"/>
            <w:vAlign w:val="bottom"/>
          </w:tcPr>
          <w:p>
            <w:pPr>
              <w:spacing w:after="0"/>
              <w:rPr>
                <w:sz w:val="12"/>
                <w:szCs w:val="12"/>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Offered</w:t>
            </w:r>
          </w:p>
        </w:tc>
        <w:tc>
          <w:tcPr>
            <w:tcW w:w="300" w:type="dxa"/>
            <w:vAlign w:val="bottom"/>
          </w:tcPr>
          <w:p>
            <w:pPr>
              <w:spacing w:after="0"/>
              <w:rPr>
                <w:sz w:val="12"/>
                <w:szCs w:val="12"/>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Offered (%)</w:t>
            </w:r>
          </w:p>
        </w:tc>
        <w:tc>
          <w:tcPr>
            <w:tcW w:w="920" w:type="dxa"/>
            <w:vAlign w:val="bottom"/>
            <w:gridSpan w:val="2"/>
          </w:tcPr>
          <w:p>
            <w:pPr>
              <w:jc w:val="center"/>
              <w:ind w:left="239"/>
              <w:spacing w:after="0" w:line="125" w:lineRule="exact"/>
              <w:rPr>
                <w:sz w:val="20"/>
                <w:szCs w:val="20"/>
                <w:color w:val="auto"/>
              </w:rPr>
            </w:pPr>
            <w:r>
              <w:rPr>
                <w:rFonts w:ascii="Times New Roman" w:cs="Times New Roman" w:eastAsia="Times New Roman" w:hAnsi="Times New Roman"/>
                <w:sz w:val="11"/>
                <w:szCs w:val="11"/>
                <w:b w:val="1"/>
                <w:bCs w:val="1"/>
                <w:color w:val="auto"/>
              </w:rPr>
              <w:t>this Offering</w:t>
            </w:r>
          </w:p>
        </w:tc>
        <w:tc>
          <w:tcPr>
            <w:tcW w:w="1160" w:type="dxa"/>
            <w:vAlign w:val="bottom"/>
            <w:gridSpan w:val="3"/>
          </w:tcPr>
          <w:p>
            <w:pPr>
              <w:jc w:val="center"/>
              <w:ind w:left="178"/>
              <w:spacing w:after="0" w:line="125" w:lineRule="exact"/>
              <w:rPr>
                <w:sz w:val="20"/>
                <w:szCs w:val="20"/>
                <w:color w:val="auto"/>
              </w:rPr>
            </w:pPr>
            <w:r>
              <w:rPr>
                <w:rFonts w:ascii="Times New Roman" w:cs="Times New Roman" w:eastAsia="Times New Roman" w:hAnsi="Times New Roman"/>
                <w:sz w:val="11"/>
                <w:szCs w:val="11"/>
                <w:b w:val="1"/>
                <w:bCs w:val="1"/>
                <w:color w:val="auto"/>
              </w:rPr>
              <w:t>this Offering (%)</w:t>
            </w:r>
          </w:p>
        </w:tc>
        <w:tc>
          <w:tcPr>
            <w:tcW w:w="0" w:type="dxa"/>
            <w:vAlign w:val="bottom"/>
          </w:tcPr>
          <w:p>
            <w:pPr>
              <w:spacing w:after="0"/>
              <w:rPr>
                <w:sz w:val="1"/>
                <w:szCs w:val="1"/>
                <w:color w:val="auto"/>
              </w:rPr>
            </w:pPr>
          </w:p>
        </w:tc>
      </w:tr>
      <w:tr>
        <w:trPr>
          <w:trHeight w:val="140"/>
        </w:trPr>
        <w:tc>
          <w:tcPr>
            <w:tcW w:w="284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1"/>
                <w:szCs w:val="11"/>
                <w:color w:val="auto"/>
              </w:rPr>
              <w:t>TCG Crossover Fund I, L.P.</w:t>
            </w:r>
            <w:r>
              <w:rPr>
                <w:rFonts w:ascii="Times New Roman" w:cs="Times New Roman" w:eastAsia="Times New Roman" w:hAnsi="Times New Roman"/>
                <w:sz w:val="16"/>
                <w:szCs w:val="16"/>
                <w:color w:val="auto"/>
                <w:vertAlign w:val="superscript"/>
              </w:rPr>
              <w:t>(1)</w:t>
            </w:r>
          </w:p>
        </w:tc>
        <w:tc>
          <w:tcPr>
            <w:tcW w:w="4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6,603,703</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w:t>
            </w:r>
          </w:p>
        </w:tc>
        <w:tc>
          <w:tcPr>
            <w:tcW w:w="2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122,618</w:t>
            </w: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6,481,085</w:t>
            </w:r>
          </w:p>
        </w:tc>
        <w:tc>
          <w:tcPr>
            <w:tcW w:w="2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40" w:type="dxa"/>
            <w:vAlign w:val="bottom"/>
            <w:gridSpan w:val="2"/>
          </w:tcPr>
          <w:p>
            <w:pPr>
              <w:spacing w:after="0" w:line="159" w:lineRule="exact"/>
              <w:rPr>
                <w:sz w:val="20"/>
                <w:szCs w:val="20"/>
                <w:color w:val="auto"/>
              </w:rPr>
            </w:pPr>
            <w:r>
              <w:rPr>
                <w:rFonts w:ascii="Times New Roman" w:cs="Times New Roman" w:eastAsia="Times New Roman" w:hAnsi="Times New Roman"/>
                <w:sz w:val="12"/>
                <w:szCs w:val="12"/>
                <w:color w:val="auto"/>
              </w:rPr>
              <w:t>VHCP ABVX Holdings, LLC</w:t>
            </w:r>
            <w:r>
              <w:rPr>
                <w:rFonts w:ascii="Times New Roman" w:cs="Times New Roman" w:eastAsia="Times New Roman" w:hAnsi="Times New Roman"/>
                <w:sz w:val="18"/>
                <w:szCs w:val="18"/>
                <w:color w:val="auto"/>
                <w:vertAlign w:val="superscript"/>
              </w:rPr>
              <w:t>(2)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106,887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106,887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9"/>
        </w:trPr>
        <w:tc>
          <w:tcPr>
            <w:tcW w:w="28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Deep Track Biotechnology Master Fund, Ltd.</w:t>
            </w:r>
            <w:r>
              <w:rPr>
                <w:rFonts w:ascii="Times New Roman" w:cs="Times New Roman" w:eastAsia="Times New Roman" w:hAnsi="Times New Roman"/>
                <w:sz w:val="18"/>
                <w:szCs w:val="18"/>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82,283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82,283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9"/>
        </w:trPr>
        <w:tc>
          <w:tcPr>
            <w:tcW w:w="2840" w:type="dxa"/>
            <w:vAlign w:val="bottom"/>
            <w:gridSpan w:val="2"/>
          </w:tcPr>
          <w:p>
            <w:pPr>
              <w:spacing w:after="0" w:line="159" w:lineRule="exact"/>
              <w:rPr>
                <w:sz w:val="20"/>
                <w:szCs w:val="20"/>
                <w:color w:val="auto"/>
              </w:rPr>
            </w:pPr>
            <w:r>
              <w:rPr>
                <w:rFonts w:ascii="Times New Roman" w:cs="Times New Roman" w:eastAsia="Times New Roman" w:hAnsi="Times New Roman"/>
                <w:sz w:val="12"/>
                <w:szCs w:val="12"/>
                <w:color w:val="auto"/>
              </w:rPr>
              <w:t>Sofinnova Crossover I SLP</w:t>
            </w:r>
            <w:r>
              <w:rPr>
                <w:rFonts w:ascii="Times New Roman" w:cs="Times New Roman" w:eastAsia="Times New Roman" w:hAnsi="Times New Roman"/>
                <w:sz w:val="18"/>
                <w:szCs w:val="18"/>
                <w:color w:val="auto"/>
                <w:vertAlign w:val="superscript"/>
              </w:rPr>
              <w:t>(4)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3,377,494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42,755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3,334,739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Invus Public Equities, L.P.</w:t>
            </w:r>
            <w:r>
              <w:rPr>
                <w:rFonts w:ascii="Times New Roman" w:cs="Times New Roman" w:eastAsia="Times New Roman" w:hAnsi="Times New Roman"/>
                <w:sz w:val="18"/>
                <w:szCs w:val="18"/>
                <w:color w:val="auto"/>
                <w:vertAlign w:val="superscript"/>
              </w:rPr>
              <w:t>(5)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4,107,979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4,080,955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40" w:type="dxa"/>
            <w:vAlign w:val="bottom"/>
            <w:gridSpan w:val="2"/>
          </w:tcPr>
          <w:p>
            <w:pPr>
              <w:spacing w:after="0" w:line="159" w:lineRule="exact"/>
              <w:rPr>
                <w:sz w:val="20"/>
                <w:szCs w:val="20"/>
                <w:color w:val="auto"/>
              </w:rPr>
            </w:pPr>
            <w:r>
              <w:rPr>
                <w:rFonts w:ascii="Times New Roman" w:cs="Times New Roman" w:eastAsia="Times New Roman" w:hAnsi="Times New Roman"/>
                <w:sz w:val="12"/>
                <w:szCs w:val="12"/>
                <w:color w:val="auto"/>
              </w:rPr>
              <w:t>Truffle Capital SAS</w:t>
            </w:r>
            <w:r>
              <w:rPr>
                <w:rFonts w:ascii="Times New Roman" w:cs="Times New Roman" w:eastAsia="Times New Roman" w:hAnsi="Times New Roman"/>
                <w:sz w:val="18"/>
                <w:szCs w:val="18"/>
                <w:color w:val="auto"/>
                <w:vertAlign w:val="superscript"/>
              </w:rPr>
              <w:t>(6)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9"/>
        </w:trPr>
        <w:tc>
          <w:tcPr>
            <w:tcW w:w="28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Santé Holdings SRL</w:t>
            </w:r>
            <w:r>
              <w:rPr>
                <w:rFonts w:ascii="Times New Roman" w:cs="Times New Roman" w:eastAsia="Times New Roman" w:hAnsi="Times New Roman"/>
                <w:sz w:val="18"/>
                <w:szCs w:val="18"/>
                <w:color w:val="auto"/>
                <w:vertAlign w:val="superscript"/>
              </w:rPr>
              <w:t>(7)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67310</wp:posOffset>
            </wp:positionV>
            <wp:extent cx="5994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9440" cy="6985"/>
                    </a:xfrm>
                    <a:prstGeom prst="rect">
                      <a:avLst/>
                    </a:prstGeom>
                    <a:noFill/>
                  </pic:spPr>
                </pic:pic>
              </a:graphicData>
            </a:graphic>
          </wp:anchor>
        </w:drawing>
      </w:r>
    </w:p>
    <w:p>
      <w:pPr>
        <w:spacing w:after="0" w:line="118" w:lineRule="exact"/>
        <w:rPr>
          <w:sz w:val="20"/>
          <w:szCs w:val="20"/>
          <w:color w:val="auto"/>
        </w:rPr>
      </w:pPr>
    </w:p>
    <w:p>
      <w:pPr>
        <w:ind w:left="1660" w:hanging="345"/>
        <w:spacing w:after="0"/>
        <w:tabs>
          <w:tab w:leader="none" w:pos="1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less than one percent.</w:t>
      </w:r>
    </w:p>
    <w:p>
      <w:pPr>
        <w:spacing w:after="0" w:line="16" w:lineRule="exact"/>
        <w:rPr>
          <w:sz w:val="20"/>
          <w:szCs w:val="20"/>
          <w:color w:val="auto"/>
        </w:rPr>
      </w:pPr>
    </w:p>
    <w:p>
      <w:pPr>
        <w:ind w:left="1660" w:right="259" w:hanging="345"/>
        <w:spacing w:after="0" w:line="263" w:lineRule="auto"/>
        <w:tabs>
          <w:tab w:leader="none" w:pos="1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5,948,703 ordinary shares in the form of ADSs held by TCG Crossover Fund I, L.P. (“TCG Crossover I”), including 122,618 ordinary shares in the form of ADSs issued pursuant to the Purchase Agreement; and (ii) 655,000 ordinary shares in the form of ADSs held by TCG Crossover Fund II, L.P. (“TCG Crossover II”). TCG Crossover GPI I,</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9" w:lineRule="exact"/>
        <w:rPr>
          <w:sz w:val="20"/>
          <w:szCs w:val="20"/>
          <w:color w:val="auto"/>
        </w:rPr>
      </w:pPr>
    </w:p>
    <w:p>
      <w:pPr>
        <w:ind w:left="1660" w:right="199"/>
        <w:spacing w:after="0" w:line="257" w:lineRule="auto"/>
        <w:rPr>
          <w:sz w:val="20"/>
          <w:szCs w:val="20"/>
          <w:color w:val="auto"/>
        </w:rPr>
      </w:pPr>
      <w:r>
        <w:rPr>
          <w:rFonts w:ascii="Times New Roman" w:cs="Times New Roman" w:eastAsia="Times New Roman" w:hAnsi="Times New Roman"/>
          <w:sz w:val="13"/>
          <w:szCs w:val="13"/>
          <w:color w:val="auto"/>
        </w:rPr>
        <w:t>LLC (“TCG Crossover GP I”)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TCG Crossover GPI II, LLC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principal business address of each of TCG Crossover GP I, TCG Crossover I, TCG Crossover GP II, TCG Crossover II and Dr. Yu is 245 Lytton Ave., Suite 350, Palo Alto, CA 94301.</w:t>
      </w:r>
    </w:p>
    <w:p>
      <w:pPr>
        <w:spacing w:after="0" w:line="1" w:lineRule="exact"/>
        <w:rPr>
          <w:sz w:val="20"/>
          <w:szCs w:val="20"/>
          <w:color w:val="auto"/>
        </w:rPr>
      </w:pPr>
    </w:p>
    <w:p>
      <w:pPr>
        <w:ind w:left="1660" w:right="239" w:hanging="345"/>
        <w:spacing w:after="0" w:line="255" w:lineRule="auto"/>
        <w:tabs>
          <w:tab w:leader="none" w:pos="1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106,887 ordinary shares in the form of ADSs directly held by VHCP ABVX Holdings, LLC issued pursuant to the Purchase Agreement. Venrock Adviser, LLC is the sole manager of VHCP ABVX Holdings, LLC. Dr. Bong Koh is the voting member of Venrock Adviser, LLC. The principal business address of the Venrock Entities is 7 Bryant Park, 23rd Floor, New York, NY 10018, United States.</w:t>
      </w:r>
    </w:p>
    <w:p>
      <w:pPr>
        <w:ind w:left="1660" w:right="279" w:hanging="345"/>
        <w:spacing w:after="0" w:line="255" w:lineRule="auto"/>
        <w:tabs>
          <w:tab w:leader="none" w:pos="1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82,283 ordinary shares in the form of ADSs held by Deep Track Biotechnology Master Fund, Ltd. (“Deep Track Fund”) issued pursuant to the Purchase Agreement. Deep Track Fund is controlled by Deep Track Capital, LP (“Investment Manager”). Deep Track Capital GP, LLC (“General Partner”) is the general partner of the Investment Manager. The General Partner is controlled by Mr. David Kroin who is also its managing member. The principal business address of the entities and individual referenced in this footnote is 200 Greenwich Avenue 3rd Floor, Greenwich, CT 06830, United States.</w:t>
      </w:r>
    </w:p>
    <w:p>
      <w:pPr>
        <w:spacing w:after="0" w:line="1" w:lineRule="exact"/>
        <w:rPr>
          <w:rFonts w:ascii="Times New Roman" w:cs="Times New Roman" w:eastAsia="Times New Roman" w:hAnsi="Times New Roman"/>
          <w:sz w:val="13"/>
          <w:szCs w:val="13"/>
          <w:color w:val="auto"/>
        </w:rPr>
      </w:pPr>
    </w:p>
    <w:p>
      <w:pPr>
        <w:ind w:left="1660" w:right="279" w:hanging="345"/>
        <w:spacing w:after="0" w:line="255" w:lineRule="auto"/>
        <w:tabs>
          <w:tab w:leader="none" w:pos="1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3,377,494 ordinary shares (including ordinary shares in the form of ADSs) held by Sofinnova Crossover I SLP (“Sofinnova Crossover”), including 42,755 ordinary shares in the form of ADSs issued pursuant to the Purchase Agreement. Sofinnova Crossover is controlled by Sofinnova Partners SAS (“Sofinnova Partners”). Each of Antoine Papiernik, Cedric Moreau, Kinam Hong, Joseph Anderson and Jacques Theurillat is a member of the investment committee of Sofinnova Crossover and may be deemed to have shared voting and investment control over the shares held by Sofinnova Crossover. The principal business address of the entities and individuals referenced in this footnote is 7-11 boulevard Haussmann, 75009 Paris, France. Sofinnova Partners, represented by Kinam Hong, served as a member of our board of directors from 2019 until their resignation effective March 19, 2026.</w:t>
      </w:r>
    </w:p>
    <w:p>
      <w:pPr>
        <w:spacing w:after="0" w:line="1" w:lineRule="exact"/>
        <w:rPr>
          <w:rFonts w:ascii="Times New Roman" w:cs="Times New Roman" w:eastAsia="Times New Roman" w:hAnsi="Times New Roman"/>
          <w:sz w:val="13"/>
          <w:szCs w:val="13"/>
          <w:color w:val="auto"/>
        </w:rPr>
      </w:pPr>
    </w:p>
    <w:p>
      <w:pPr>
        <w:ind w:left="1660" w:right="219" w:hanging="345"/>
        <w:spacing w:after="0" w:line="276" w:lineRule="auto"/>
        <w:tabs>
          <w:tab w:leader="none" w:pos="16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4,107,979 ordinary shares directly held by Invus Public Equities, L.P. (“Invus PE”), including 27,024 ordinary shares in the form of ADSs issued pursuant to the Purchase Agreement. Invus Public Equities Advisors, LLC (“Invus PE Advisors”), as the general partner of Invus PE, controls Invus PE and accordingly, may be deemed to beneficially own the ordinary shares held by Invus PE. Invus Global Management, LLC (“Global Management”), as the managing member of Invus PE Advisors, controls Invus PE Advisors and, accordingly, may be deemed to beneficially own the ordinary shares that Invus PE Advisors may be deemed to beneficially own. Siren, L.L.C., (“Siren”), as the managing member of Global Management, controls Global Management and, accordingly, may be deemed to beneficially own the ordinary shares that Global Management may be deemed to beneficially own. Mr. Raymond Debbane, as the managing member of Siren, controls Siren and, accordingly, may be deemed to beneficially own the ordinary shares that Siren may be deemed to beneficially own. The address of each of the entities and the individual referenced in this footnote is 750 Lexington Avenue, 30th Floor, New York, NY 10022.</w:t>
      </w:r>
    </w:p>
    <w:p>
      <w:pPr>
        <w:spacing w:after="0" w:line="3" w:lineRule="exact"/>
        <w:rPr>
          <w:rFonts w:ascii="Times New Roman" w:cs="Times New Roman" w:eastAsia="Times New Roman" w:hAnsi="Times New Roman"/>
          <w:sz w:val="12"/>
          <w:szCs w:val="12"/>
          <w:color w:val="auto"/>
        </w:rPr>
      </w:pPr>
    </w:p>
    <w:p>
      <w:pPr>
        <w:ind w:left="1660" w:right="239" w:hanging="345"/>
        <w:spacing w:after="0" w:line="255" w:lineRule="auto"/>
        <w:tabs>
          <w:tab w:leader="none" w:pos="1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14,520 ordinary shares in the form of ADSs issued pursuant to the Purchase Agreement held by Truffle Capital SAS (“Truffle Capital”) on behalf of FPCI Truffle BioMedTech Crossover Fund (“Truffle BioMedTech”). Truffle BioMedTech is controlled by Truffle Capital, itself controlled at 42% (of the share capital) respectively by Philippe Pouletty, MD, Abivax founder, and Mr. Bernard-Louis Roques (i.e 84% combined). The principal business address of the entities and individuals referenced in this footnote is 62 rue de Miromenil, 75008, Paris, France. Truffle Capital, represented by Dr. Pouletty, served as a member of our board of directors from inception in 2013 until their resignation in December 2024.</w:t>
      </w:r>
    </w:p>
    <w:p>
      <w:pPr>
        <w:spacing w:after="0" w:line="1" w:lineRule="exact"/>
        <w:rPr>
          <w:rFonts w:ascii="Times New Roman" w:cs="Times New Roman" w:eastAsia="Times New Roman" w:hAnsi="Times New Roman"/>
          <w:sz w:val="13"/>
          <w:szCs w:val="13"/>
          <w:color w:val="auto"/>
        </w:rPr>
      </w:pPr>
    </w:p>
    <w:p>
      <w:pPr>
        <w:ind w:left="1660" w:right="219" w:hanging="345"/>
        <w:spacing w:after="0" w:line="263" w:lineRule="auto"/>
        <w:tabs>
          <w:tab w:leader="none" w:pos="1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57,260 ordinary shares, including 7,260 ordinary shares in the form of ADSs issued pursuant to the Purchase Agreement. The address for Santé Holdings SRL is Via Andrea Doria 7, Milano, Italy. Santé Holdings SRL, represented by Paolo Rampulla, served as a member of our board of directors from 2015 until their resignation in March 2024.</w:t>
      </w:r>
    </w:p>
    <w:p>
      <w:pPr>
        <w:spacing w:after="0" w:line="146" w:lineRule="exact"/>
        <w:rPr>
          <w:sz w:val="20"/>
          <w:szCs w:val="20"/>
          <w:color w:val="auto"/>
        </w:rPr>
      </w:pPr>
    </w:p>
    <w:p>
      <w:pPr>
        <w:ind w:left="1320" w:right="399" w:firstLine="346"/>
        <w:spacing w:after="0" w:line="287" w:lineRule="auto"/>
        <w:rPr>
          <w:sz w:val="20"/>
          <w:szCs w:val="20"/>
          <w:color w:val="auto"/>
        </w:rPr>
      </w:pPr>
      <w:r>
        <w:rPr>
          <w:rFonts w:ascii="Times New Roman" w:cs="Times New Roman" w:eastAsia="Times New Roman" w:hAnsi="Times New Roman"/>
          <w:sz w:val="14"/>
          <w:szCs w:val="14"/>
          <w:color w:val="auto"/>
        </w:rPr>
        <w:t>Except as otherwise disclosed herein, the Selling Shareholders do not have, and within the past three years have not had, any position, office or other material relationship with us.</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ind w:left="1320" w:right="899" w:firstLine="346"/>
        <w:spacing w:after="0" w:line="287" w:lineRule="auto"/>
        <w:rPr>
          <w:sz w:val="20"/>
          <w:szCs w:val="20"/>
          <w:color w:val="auto"/>
        </w:rPr>
      </w:pPr>
      <w:r>
        <w:rPr>
          <w:rFonts w:ascii="Times New Roman" w:cs="Times New Roman" w:eastAsia="Times New Roman" w:hAnsi="Times New Roman"/>
          <w:sz w:val="14"/>
          <w:szCs w:val="14"/>
          <w:color w:val="auto"/>
        </w:rPr>
        <w:t>We are required to pay all fees and expenses incident to the registration of our ADSs to be offered and sold pursuant to this prospectus supplement. Each Selling Shareholder will bear all commissions and discounts, if any, attributable to its respective sale of our ADSs.</w:t>
      </w:r>
    </w:p>
    <w:p>
      <w:pPr>
        <w:spacing w:after="0" w:line="124" w:lineRule="exact"/>
        <w:rPr>
          <w:sz w:val="20"/>
          <w:szCs w:val="20"/>
          <w:color w:val="auto"/>
        </w:rPr>
      </w:pPr>
    </w:p>
    <w:p>
      <w:pPr>
        <w:ind w:left="1320" w:right="939" w:firstLine="346"/>
        <w:spacing w:after="0" w:line="287" w:lineRule="auto"/>
        <w:rPr>
          <w:sz w:val="20"/>
          <w:szCs w:val="20"/>
          <w:color w:val="auto"/>
        </w:rPr>
      </w:pPr>
      <w:r>
        <w:rPr>
          <w:rFonts w:ascii="Times New Roman" w:cs="Times New Roman" w:eastAsia="Times New Roman" w:hAnsi="Times New Roman"/>
          <w:sz w:val="14"/>
          <w:szCs w:val="14"/>
          <w:color w:val="auto"/>
        </w:rPr>
        <w:t>We will not receive any of the proceeds from the sale of our ADSs by the Selling Shareholders. The aggregate proceeds to the Selling Shareholders will be the purchase price of our ADSs less any discounts and commissions borne by the Selling Shareholders.</w:t>
      </w:r>
    </w:p>
    <w:p>
      <w:pPr>
        <w:spacing w:after="0" w:line="124" w:lineRule="exact"/>
        <w:rPr>
          <w:sz w:val="20"/>
          <w:szCs w:val="20"/>
          <w:color w:val="auto"/>
        </w:rPr>
      </w:pPr>
    </w:p>
    <w:p>
      <w:pPr>
        <w:jc w:val="both"/>
        <w:ind w:left="1320" w:right="339" w:firstLine="346"/>
        <w:spacing w:after="0" w:line="260" w:lineRule="auto"/>
        <w:rPr>
          <w:sz w:val="20"/>
          <w:szCs w:val="20"/>
          <w:color w:val="auto"/>
        </w:rPr>
      </w:pPr>
      <w:r>
        <w:rPr>
          <w:rFonts w:ascii="Times New Roman" w:cs="Times New Roman" w:eastAsia="Times New Roman" w:hAnsi="Times New Roman"/>
          <w:sz w:val="14"/>
          <w:szCs w:val="14"/>
          <w:color w:val="auto"/>
        </w:rPr>
        <w:t>The ADSs beneficially owned by the Selling Shareholders covered by this prospectus supplement may be offered and sold from time to time by the Selling Shareholders. The term “Selling Shareholder” includes donees, pledgees, transferees, distributees or other successors in interest selling our ADSs received after the date of this prospectus supplement from the Selling Shareholders as a gift, pledge, partnership distribution or other transfer.</w:t>
      </w: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Each Selling Shareholder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Each Selling Shareholder may sell its ADSs by one or more of, or a combination of, the following methods:</w:t>
      </w:r>
    </w:p>
    <w:p>
      <w:pPr>
        <w:spacing w:after="0" w:line="71" w:lineRule="exact"/>
        <w:rPr>
          <w:sz w:val="20"/>
          <w:szCs w:val="20"/>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 supplement;</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104" w:lineRule="exact"/>
        <w:rPr>
          <w:rFonts w:ascii="Times New Roman" w:cs="Times New Roman" w:eastAsia="Times New Roman" w:hAnsi="Times New Roman"/>
          <w:sz w:val="14"/>
          <w:szCs w:val="14"/>
          <w:color w:val="auto"/>
        </w:rPr>
      </w:pPr>
    </w:p>
    <w:p>
      <w:pPr>
        <w:ind w:left="2080" w:right="199" w:hanging="340"/>
        <w:spacing w:after="0" w:line="287"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so engaged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over-the-counter distribution in accordance with the rules of Nasdaq;</w:t>
      </w:r>
    </w:p>
    <w:p>
      <w:pPr>
        <w:spacing w:after="0" w:line="104" w:lineRule="exact"/>
        <w:rPr>
          <w:rFonts w:ascii="Times New Roman" w:cs="Times New Roman" w:eastAsia="Times New Roman" w:hAnsi="Times New Roman"/>
          <w:sz w:val="14"/>
          <w:szCs w:val="14"/>
          <w:color w:val="auto"/>
        </w:rPr>
      </w:pPr>
    </w:p>
    <w:p>
      <w:pPr>
        <w:ind w:left="2080" w:right="219" w:hanging="340"/>
        <w:spacing w:after="0" w:line="270"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the Selling Shareholder pursuant to Rule 10b5-1 under the Exchange Act, that are in place at the time of an offering pursuant to this prospectus supplement that provide for periodic sales of their ADSs on the basis of parameters described in such trading plans;</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employees, members, limited partners or shareholders of the Selling Shareholders;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 whether through an options exchange or otherwise;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pledges to secure debts and other obligations;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delivery arrangements;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or broker-dealers;</w:t>
      </w:r>
    </w:p>
    <w:p>
      <w:pPr>
        <w:spacing w:after="0" w:line="104" w:lineRule="exact"/>
        <w:rPr>
          <w:rFonts w:ascii="Times New Roman" w:cs="Times New Roman" w:eastAsia="Times New Roman" w:hAnsi="Times New Roman"/>
          <w:sz w:val="14"/>
          <w:szCs w:val="14"/>
          <w:color w:val="auto"/>
        </w:rPr>
      </w:pPr>
    </w:p>
    <w:p>
      <w:pPr>
        <w:ind w:left="2080" w:right="259" w:hanging="340"/>
        <w:spacing w:after="0" w:line="270"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options transactions;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 or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319" w:firstLine="346"/>
        <w:spacing w:after="0" w:line="287" w:lineRule="auto"/>
        <w:rPr>
          <w:sz w:val="20"/>
          <w:szCs w:val="20"/>
          <w:color w:val="auto"/>
        </w:rPr>
      </w:pPr>
      <w:r>
        <w:rPr>
          <w:rFonts w:ascii="Times New Roman" w:cs="Times New Roman" w:eastAsia="Times New Roman" w:hAnsi="Times New Roman"/>
          <w:sz w:val="14"/>
          <w:szCs w:val="14"/>
          <w:color w:val="auto"/>
        </w:rPr>
        <w:t>In addition, any ADSs that qualify for sale pursuant to Rule 144, Regulation S or another available exemption from the registration requirements of the Securities Act may be sold pursuant to such exemption rather than pursuant to this prospectus supplement.</w:t>
      </w:r>
    </w:p>
    <w:p>
      <w:pPr>
        <w:spacing w:after="0" w:line="124" w:lineRule="exact"/>
        <w:rPr>
          <w:sz w:val="20"/>
          <w:szCs w:val="20"/>
          <w:color w:val="auto"/>
        </w:rPr>
      </w:pPr>
    </w:p>
    <w:p>
      <w:pPr>
        <w:ind w:left="1320" w:right="379" w:firstLine="346"/>
        <w:spacing w:after="0" w:line="261" w:lineRule="auto"/>
        <w:rPr>
          <w:sz w:val="20"/>
          <w:szCs w:val="20"/>
          <w:color w:val="auto"/>
        </w:rPr>
      </w:pPr>
      <w:r>
        <w:rPr>
          <w:rFonts w:ascii="Times New Roman" w:cs="Times New Roman" w:eastAsia="Times New Roman" w:hAnsi="Times New Roman"/>
          <w:sz w:val="14"/>
          <w:szCs w:val="14"/>
          <w:color w:val="auto"/>
        </w:rPr>
        <w:t>In addition, the Selling Shareholders may elect to make a pro rata in-kind distribution of ADSs to their respective members, partners or shareholders pursuant to the registration statement of which this prospectus supplement is a part by delivering a prospectus supplement with a plan of distribution. Such members, partners or shareholders would thereby receive freely tradeable ADSs pursuant to the distribution through a registration statement. To the extent a distributee is an affiliate of ours (or to the extent otherwise required by law), we may, at our option, file a prospectus supplement in order to permit the distributees to use the base prospectus to resell the ADSs acquired in the distribution.</w:t>
      </w:r>
    </w:p>
    <w:p>
      <w:pPr>
        <w:spacing w:after="0" w:line="143" w:lineRule="exact"/>
        <w:rPr>
          <w:sz w:val="20"/>
          <w:szCs w:val="20"/>
          <w:color w:val="auto"/>
        </w:rPr>
      </w:pPr>
    </w:p>
    <w:p>
      <w:pPr>
        <w:ind w:left="1320" w:right="259" w:firstLine="346"/>
        <w:spacing w:after="0" w:line="256" w:lineRule="auto"/>
        <w:rPr>
          <w:sz w:val="20"/>
          <w:szCs w:val="20"/>
          <w:color w:val="auto"/>
        </w:rPr>
      </w:pPr>
      <w:r>
        <w:rPr>
          <w:rFonts w:ascii="Times New Roman" w:cs="Times New Roman" w:eastAsia="Times New Roman" w:hAnsi="Times New Roman"/>
          <w:sz w:val="14"/>
          <w:szCs w:val="14"/>
          <w:color w:val="auto"/>
        </w:rPr>
        <w:t>To the extent required, this prospectus supplement may be amended or supplemented from time to time to describe a specific plan of distribution. In connection with distributions of the ADSs or otherwise, the Selling Shareholders may enter into hedging transactions with broker-dealers or other financial institutions. In connection with such transactions, broker-dealers or other financial institutions may engage in short sales of the ADSs in the course of hedging the positions they assume with the Selling Shareholders. The Selling Shareholders may also sell our ADSs short and redeliver the ADSs to close out such short positions. The Selling Shareholders may also enter into option or other transactions with broker-dealers or other financial institutions which require the delivery to such broker-dealer or other financial institution of ADSs offered by this prospectus supplement, which ADSs such broker-dealer or other financial institution may resell pursuant to this prospectus supplement (as supplemented or amended to reflect such transaction). The Selling Shareholders may also pledge ADSs to a broker-dealer or other financial institution, and, upon a default, such broker-dealer or other financial institution, may effect sales of the pledged ADSs pursuant to this prospectus supplement (as supplemented or amended to reflect such transaction).</w:t>
      </w:r>
    </w:p>
    <w:p>
      <w:pPr>
        <w:spacing w:after="0" w:line="150" w:lineRule="exact"/>
        <w:rPr>
          <w:sz w:val="20"/>
          <w:szCs w:val="20"/>
          <w:color w:val="auto"/>
        </w:rPr>
      </w:pPr>
    </w:p>
    <w:p>
      <w:pPr>
        <w:ind w:left="1320" w:right="199" w:firstLine="346"/>
        <w:spacing w:after="0" w:line="287" w:lineRule="auto"/>
        <w:rPr>
          <w:sz w:val="20"/>
          <w:szCs w:val="20"/>
          <w:color w:val="auto"/>
        </w:rPr>
      </w:pPr>
      <w:r>
        <w:rPr>
          <w:rFonts w:ascii="Times New Roman" w:cs="Times New Roman" w:eastAsia="Times New Roman" w:hAnsi="Times New Roman"/>
          <w:sz w:val="14"/>
          <w:szCs w:val="14"/>
          <w:color w:val="auto"/>
        </w:rPr>
        <w:t>In effecting sales, broker-dealers or agents engaged by the Selling Shareholders may arrange for other broker-dealers to participate. Broker-dealers or agents may receive commissions, discounts or concessions from the Selling Shareholders in amounts to be negotiated immediately prior to the sale.</w:t>
      </w:r>
    </w:p>
    <w:p>
      <w:pPr>
        <w:spacing w:after="0" w:line="124"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In offering the ADSs covered by this prospectus supplement, the Selling Shareholders and any broker-dealers who execute sales for the Selling Shareholders may be deemed to be “underwriters” within the meaning of the Securities Act in connection with such sales. Any profits realized by the Selling Shareholders as an “underwriter,” and the compensation of any broker-dealer who executes sales for the Selling Shareholders, may be deemed to be underwriting discounts and commissions.</w:t>
      </w:r>
    </w:p>
    <w:p>
      <w:pPr>
        <w:spacing w:after="0" w:line="140" w:lineRule="exact"/>
        <w:rPr>
          <w:sz w:val="20"/>
          <w:szCs w:val="20"/>
          <w:color w:val="auto"/>
        </w:rPr>
      </w:pPr>
    </w:p>
    <w:p>
      <w:pPr>
        <w:ind w:left="1320" w:right="199" w:firstLine="346"/>
        <w:spacing w:after="0" w:line="270"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ADSs must be sold in such jurisdictions only through registered or licensed brokers or dealers. In addition, in certain states the ADSs may not be sold unless they have been registered or qualified for sale in the applicable state or an exemption from the registration or qualification requirement is available and is complied with.</w:t>
      </w:r>
    </w:p>
    <w:p>
      <w:pPr>
        <w:spacing w:after="0" w:line="136"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We have advised the Selling Shareholders that the anti-manipulation rules of Regulation M under the Exchange Act may apply to sales of ADSs in the market and to the activities of the Selling Shareholders and their respective affiliates. In addition, we will make copies of this prospectus supplement available to the Selling Shareholders for the purpose of satisfying the prospectus delivery requirements of the Securities Act. The Selling Shareholders may indemnify any broker-dealer that participates in transactions involving the sale of ADSs against certain liabilities, including liabilities arising under the Securities Act.</w:t>
      </w:r>
    </w:p>
    <w:p>
      <w:pPr>
        <w:spacing w:after="0" w:line="143" w:lineRule="exact"/>
        <w:rPr>
          <w:sz w:val="20"/>
          <w:szCs w:val="20"/>
          <w:color w:val="auto"/>
        </w:rPr>
      </w:pPr>
    </w:p>
    <w:p>
      <w:pPr>
        <w:ind w:left="1320" w:right="179" w:firstLine="346"/>
        <w:spacing w:after="0" w:line="264" w:lineRule="auto"/>
        <w:rPr>
          <w:sz w:val="20"/>
          <w:szCs w:val="20"/>
          <w:color w:val="auto"/>
        </w:rPr>
      </w:pPr>
      <w:r>
        <w:rPr>
          <w:rFonts w:ascii="Times New Roman" w:cs="Times New Roman" w:eastAsia="Times New Roman" w:hAnsi="Times New Roman"/>
          <w:sz w:val="14"/>
          <w:szCs w:val="14"/>
          <w:color w:val="auto"/>
        </w:rPr>
        <w:t>At the time a particular offer of ADSs is made, if required, a prospectus supplement will be distributed that will set forth the number of ADSs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359" w:firstLine="346"/>
        <w:spacing w:after="0" w:line="270" w:lineRule="auto"/>
        <w:rPr>
          <w:sz w:val="20"/>
          <w:szCs w:val="20"/>
          <w:color w:val="auto"/>
        </w:rPr>
      </w:pPr>
      <w:r>
        <w:rPr>
          <w:rFonts w:ascii="Times New Roman" w:cs="Times New Roman" w:eastAsia="Times New Roman" w:hAnsi="Times New Roman"/>
          <w:sz w:val="14"/>
          <w:szCs w:val="14"/>
          <w:color w:val="auto"/>
        </w:rPr>
        <w:t>We have agreed with the Selling Shareholders to keep the registration statement of which this prospectus supplement constitutes a part effective until such time as all of the ADSs covered by this prospectus supplement have been disposed of pursuant to and in accordance with the registration statement or, if earlier, such time as the ADSs may be sold freely under Rule 144 without any volume or manner of sale restrictions.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1"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Cooley LLP, New York, New York, is representing us with respect to certain matters governed by U.S. law in connection with this offering. The validity of our ordinary shares, including ordinary shares represented by the ADSs, and certain other matters governed by French law is being passed on for us by Dechert (Paris) LLP, Paris, France. Dechert (Paris) LLP will issue an opinion about certain legal matters with respect to the securities offered hereby. Any underwriters or agents will be advised about legal matters relating to any offering by their own counsel.</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ind w:left="1320" w:right="419" w:firstLine="346"/>
        <w:spacing w:after="0" w:line="270"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supplement by reference to our Annual Report on Form 20-F for the year ended December 31, 2025 have been so incorporated in reliance on the report of PricewaterhouseCoopers Audit, independent registered public accounting firm, given on the authority of said firm as experts in accounting and auditing.</w:t>
      </w:r>
    </w:p>
    <w:p>
      <w:pPr>
        <w:spacing w:after="0" w:line="13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offices of PricewaterhouseCoopers Audit are located at 63, rue de Villiers, 92208 Neuilly-sur-Seine, France.</w:t>
      </w:r>
    </w:p>
    <w:p>
      <w:pPr>
        <w:spacing w:after="0" w:line="1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ind w:left="1320" w:right="259" w:firstLine="346"/>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have filed with the SEC a registration statement on Form F-3 (File No. </w:t>
      </w:r>
      <w:hyperlink r:id="rId35">
        <w:r>
          <w:rPr>
            <w:rFonts w:ascii="Times New Roman" w:cs="Times New Roman" w:eastAsia="Times New Roman" w:hAnsi="Times New Roman"/>
            <w:sz w:val="14"/>
            <w:szCs w:val="14"/>
            <w:color w:val="0000EE"/>
          </w:rPr>
          <w:t>333-288884</w:t>
        </w:r>
      </w:hyperlink>
      <w:r>
        <w:rPr>
          <w:rFonts w:ascii="Times New Roman" w:cs="Times New Roman" w:eastAsia="Times New Roman" w:hAnsi="Times New Roman"/>
          <w:sz w:val="14"/>
          <w:szCs w:val="14"/>
          <w:color w:val="auto"/>
        </w:rPr>
        <w:t>) under the Securities Act with respect to the securities described in this prospectus supplement. A related registration statement on Form F-6 (File No. 333-274845) has been filed with the SEC to register the ADSs. This prospectus supplement and the accompanying prospectus, which forms a part of the registration statement, do not contain all of the information included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-352425</wp:posOffset>
            </wp:positionV>
            <wp:extent cx="45656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456565" cy="6985"/>
                    </a:xfrm>
                    <a:prstGeom prst="rect">
                      <a:avLst/>
                    </a:prstGeom>
                    <a:noFill/>
                  </pic:spPr>
                </pic:pic>
              </a:graphicData>
            </a:graphic>
          </wp:anchor>
        </w:drawing>
      </w:r>
    </w:p>
    <w:p>
      <w:pPr>
        <w:spacing w:after="0" w:line="120" w:lineRule="exact"/>
        <w:rPr>
          <w:sz w:val="20"/>
          <w:szCs w:val="20"/>
          <w:color w:val="auto"/>
        </w:rPr>
      </w:pPr>
    </w:p>
    <w:p>
      <w:pPr>
        <w:ind w:left="1320" w:right="519" w:firstLine="346"/>
        <w:spacing w:after="0" w:line="287" w:lineRule="auto"/>
        <w:rPr>
          <w:sz w:val="20"/>
          <w:szCs w:val="20"/>
          <w:color w:val="auto"/>
        </w:rPr>
      </w:pPr>
      <w:r>
        <w:rPr>
          <w:rFonts w:ascii="Times New Roman" w:cs="Times New Roman" w:eastAsia="Times New Roman" w:hAnsi="Times New Roman"/>
          <w:sz w:val="14"/>
          <w:szCs w:val="14"/>
          <w:color w:val="auto"/>
        </w:rPr>
        <w:t>The SEC maintains a website (http://www.sec.gov) that contains reports and other information regarding registrants, such as Abivax, that file electronically with the SEC.</w:t>
      </w:r>
    </w:p>
    <w:p>
      <w:pPr>
        <w:spacing w:after="0" w:line="124" w:lineRule="exact"/>
        <w:rPr>
          <w:sz w:val="20"/>
          <w:szCs w:val="20"/>
          <w:color w:val="auto"/>
        </w:rPr>
      </w:pPr>
    </w:p>
    <w:p>
      <w:pPr>
        <w:ind w:left="1320" w:right="339" w:firstLine="346"/>
        <w:spacing w:after="0" w:line="258" w:lineRule="auto"/>
        <w:rPr>
          <w:sz w:val="20"/>
          <w:szCs w:val="20"/>
          <w:color w:val="auto"/>
        </w:rPr>
      </w:pPr>
      <w:r>
        <w:rPr>
          <w:rFonts w:ascii="Times New Roman" w:cs="Times New Roman" w:eastAsia="Times New Roman" w:hAnsi="Times New Roman"/>
          <w:sz w:val="14"/>
          <w:szCs w:val="14"/>
          <w:color w:val="auto"/>
        </w:rPr>
        <w:t>We are subject to the information reporting requirements of the Exchange Act applicable to foreign private issuers and under those requirements file or furnish reports with the SEC. Accordingly, we are required to file or furnish reports and other information with the SEC, including Annual Reports on Form 20-F and Reports on Form 6-K. As a foreign private issuer, we are exempt from the rules under the Exchange Act related to the furnishing and content of proxy statements, and our executive officers, board members and principal shareholders are exempt from the short-swing profit recovery provisions, and our principal shareholders are exempt from the reporting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spacing w:after="0" w:line="147" w:lineRule="exact"/>
        <w:rPr>
          <w:sz w:val="20"/>
          <w:szCs w:val="20"/>
          <w:color w:val="auto"/>
        </w:rPr>
      </w:pPr>
    </w:p>
    <w:p>
      <w:pPr>
        <w:ind w:left="1320" w:right="219" w:firstLine="346"/>
        <w:spacing w:after="0" w:line="287" w:lineRule="auto"/>
        <w:rPr>
          <w:sz w:val="20"/>
          <w:szCs w:val="20"/>
          <w:color w:val="auto"/>
        </w:rPr>
      </w:pPr>
      <w:r>
        <w:rPr>
          <w:rFonts w:ascii="Times New Roman" w:cs="Times New Roman" w:eastAsia="Times New Roman" w:hAnsi="Times New Roman"/>
          <w:sz w:val="14"/>
          <w:szCs w:val="14"/>
          <w:color w:val="auto"/>
        </w:rPr>
        <w:t>We maintain a corporate website at www.abivax.com. Information contained on, or that can be accessed through, our website does not constitute a part of this prospectus. We have included our website address in this prospectus solely as an inactive textual reference.</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1"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(File No. 333-288884) under the Securities Act of 1933, as amended, with the SEC with respect to the securities the Selling Shareholders may offer pursuant to this prospectus supplement and the accompanying prospectus. This prospectus supplement omits certain information contained in the registration statement, as permitted by the SEC. You should refer to the registration statement, including the exhibits, for further information about us and the securities the Selling Shareholders may offer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74" w:lineRule="exact"/>
        <w:rPr>
          <w:sz w:val="20"/>
          <w:szCs w:val="20"/>
          <w:color w:val="auto"/>
        </w:rPr>
      </w:pPr>
    </w:p>
    <w:p>
      <w:pPr>
        <w:ind w:left="2080" w:hanging="340"/>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20-F for the fiscal year ended December 31, 2025, filed with the SEC on </w:t>
      </w:r>
      <w:hyperlink r:id="rId38">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2080" w:right="319" w:hanging="340"/>
        <w:spacing w:after="0" w:line="287" w:lineRule="auto"/>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Reports on Form 6-K filed with the SEC on </w:t>
      </w:r>
      <w:hyperlink r:id="rId39">
        <w:r>
          <w:rPr>
            <w:rFonts w:ascii="Times New Roman" w:cs="Times New Roman" w:eastAsia="Times New Roman" w:hAnsi="Times New Roman"/>
            <w:sz w:val="14"/>
            <w:szCs w:val="14"/>
            <w:u w:val="single" w:color="auto"/>
            <w:color w:val="0000EE"/>
          </w:rPr>
          <w:t>February 23,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0">
        <w:r>
          <w:rPr>
            <w:rFonts w:ascii="Times New Roman" w:cs="Times New Roman" w:eastAsia="Times New Roman" w:hAnsi="Times New Roman"/>
            <w:sz w:val="14"/>
            <w:szCs w:val="14"/>
            <w:u w:val="single" w:color="auto"/>
            <w:color w:val="0000EE"/>
          </w:rPr>
          <w:t>April 20, 2026</w:t>
        </w:r>
      </w:hyperlink>
      <w:r>
        <w:rPr>
          <w:rFonts w:ascii="Times New Roman" w:cs="Times New Roman" w:eastAsia="Times New Roman" w:hAnsi="Times New Roman"/>
          <w:sz w:val="14"/>
          <w:szCs w:val="14"/>
          <w:color w:val="auto"/>
        </w:rPr>
        <w:t>, in each case, solely to the extent the information in such reports has been incorporated by reference into the registration statement of which this prospectus supplement forms a part; and</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description of ADSs representing our ordinary shares contained in our Registration Statement on Form 8-A filed with the SEC</w:t>
      </w:r>
    </w:p>
    <w:p>
      <w:pPr>
        <w:spacing w:after="0" w:line="23" w:lineRule="exact"/>
        <w:rPr>
          <w:rFonts w:ascii="Times New Roman" w:cs="Times New Roman" w:eastAsia="Times New Roman" w:hAnsi="Times New Roman"/>
          <w:sz w:val="14"/>
          <w:szCs w:val="14"/>
          <w:color w:val="auto"/>
        </w:rPr>
      </w:pPr>
    </w:p>
    <w:p>
      <w:pPr>
        <w:ind w:left="2080" w:right="27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w:t>
      </w:r>
      <w:hyperlink r:id="rId41">
        <w:r>
          <w:rPr>
            <w:rFonts w:ascii="Times New Roman" w:cs="Times New Roman" w:eastAsia="Times New Roman" w:hAnsi="Times New Roman"/>
            <w:sz w:val="14"/>
            <w:szCs w:val="14"/>
            <w:u w:val="single" w:color="auto"/>
            <w:color w:val="0000EE"/>
          </w:rPr>
          <w:t>October 18, 2023</w:t>
        </w:r>
      </w:hyperlink>
      <w:r>
        <w:rPr>
          <w:rFonts w:ascii="Times New Roman" w:cs="Times New Roman" w:eastAsia="Times New Roman" w:hAnsi="Times New Roman"/>
          <w:sz w:val="14"/>
          <w:szCs w:val="14"/>
          <w:color w:val="auto"/>
        </w:rPr>
        <w:t xml:space="preserve">, including any amendments or reports filed for the purpose of updating such description, including Exhibit 2.3 to our Annual Report on Form 20-F for the fiscal year ended December 31, 2025, filed with the SEC on </w:t>
      </w:r>
      <w:hyperlink r:id="rId38">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auto"/>
        </w:rPr>
        <w:t>.</w:t>
      </w:r>
    </w:p>
    <w:p>
      <w:pPr>
        <w:spacing w:after="0" w:line="138" w:lineRule="exact"/>
        <w:rPr>
          <w:rFonts w:ascii="Times New Roman" w:cs="Times New Roman" w:eastAsia="Times New Roman" w:hAnsi="Times New Roman"/>
          <w:sz w:val="14"/>
          <w:szCs w:val="14"/>
          <w:color w:val="auto"/>
        </w:rPr>
      </w:pPr>
    </w:p>
    <w:p>
      <w:pPr>
        <w:ind w:left="1660"/>
        <w:spacing w:after="0"/>
        <w:rPr>
          <w:sz w:val="20"/>
          <w:szCs w:val="20"/>
          <w:color w:val="auto"/>
        </w:rPr>
      </w:pPr>
      <w:r>
        <w:rPr>
          <w:rFonts w:ascii="Times New Roman" w:cs="Times New Roman" w:eastAsia="Times New Roman" w:hAnsi="Times New Roman"/>
          <w:sz w:val="14"/>
          <w:szCs w:val="14"/>
          <w:color w:val="auto"/>
        </w:rPr>
        <w:t>We are also incorporating by reference all subsequent Annual Reports on Form 20-F that we file with the SEC and certain reports on</w:t>
      </w:r>
    </w:p>
    <w:p>
      <w:pPr>
        <w:spacing w:after="0" w:line="23" w:lineRule="exact"/>
        <w:rPr>
          <w:rFonts w:ascii="Times New Roman" w:cs="Times New Roman" w:eastAsia="Times New Roman" w:hAnsi="Times New Roman"/>
          <w:sz w:val="14"/>
          <w:szCs w:val="14"/>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Form 6-K that we furnish to the SEC after the date of this prospectus (if they state that they are incorporated by reference into this prospectus) prior to the termination of the offering of securities under this prospectus supplement and the accompanying prospectus. In all cases, you should rely on the later information over different information included in this prospectus supplement or the accompanying prospectus.</w:t>
      </w:r>
    </w:p>
    <w:p>
      <w:pPr>
        <w:spacing w:after="0" w:line="144" w:lineRule="exact"/>
        <w:rPr>
          <w:rFonts w:ascii="Times New Roman" w:cs="Times New Roman" w:eastAsia="Times New Roman" w:hAnsi="Times New Roman"/>
          <w:sz w:val="14"/>
          <w:szCs w:val="14"/>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and the accompanying prospectus, other than exhibits to those documents unless such exhibits are specifically incorporated by reference in this prospectus supplement, will be provided at no cost to each person, including any beneficial owner, who receives a copy of this prospectus supplement and the accompanying prospectus on the written or oral request of that person made to:</w:t>
      </w:r>
    </w:p>
    <w:p>
      <w:pPr>
        <w:spacing w:after="0" w:line="14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Abivax SA</w:t>
      </w:r>
    </w:p>
    <w:p>
      <w:pPr>
        <w:spacing w:after="0" w:line="2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7-11 Boulevard Haussmann</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75009 Paris</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France</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Tel: +33 1 53 83 09 63</w:t>
      </w:r>
    </w:p>
    <w:p>
      <w:pPr>
        <w:spacing w:after="0" w:line="162" w:lineRule="exact"/>
        <w:rPr>
          <w:rFonts w:ascii="Times New Roman" w:cs="Times New Roman" w:eastAsia="Times New Roman" w:hAnsi="Times New Roman"/>
          <w:sz w:val="14"/>
          <w:szCs w:val="14"/>
          <w:color w:val="auto"/>
        </w:rPr>
      </w:pPr>
    </w:p>
    <w:p>
      <w:pPr>
        <w:ind w:left="1320" w:right="599" w:firstLine="346"/>
        <w:spacing w:after="0" w:line="290" w:lineRule="auto"/>
        <w:rPr>
          <w:sz w:val="20"/>
          <w:szCs w:val="20"/>
          <w:color w:val="auto"/>
        </w:rPr>
      </w:pPr>
      <w:r>
        <w:rPr>
          <w:rFonts w:ascii="Times New Roman" w:cs="Times New Roman" w:eastAsia="Times New Roman" w:hAnsi="Times New Roman"/>
          <w:sz w:val="14"/>
          <w:szCs w:val="14"/>
          <w:color w:val="auto"/>
        </w:rPr>
        <w:t xml:space="preserve">You may also access these documents on our website, </w:t>
      </w:r>
      <w:r>
        <w:rPr>
          <w:rFonts w:ascii="Times New Roman" w:cs="Times New Roman" w:eastAsia="Times New Roman" w:hAnsi="Times New Roman"/>
          <w:sz w:val="14"/>
          <w:szCs w:val="14"/>
          <w:i w:val="1"/>
          <w:iCs w:val="1"/>
          <w:color w:val="auto"/>
        </w:rPr>
        <w:t>www.abivax.com</w:t>
      </w:r>
      <w:r>
        <w:rPr>
          <w:rFonts w:ascii="Times New Roman" w:cs="Times New Roman" w:eastAsia="Times New Roman" w:hAnsi="Times New Roman"/>
          <w:sz w:val="14"/>
          <w:szCs w:val="14"/>
          <w:color w:val="auto"/>
        </w:rPr>
        <w:t>. The information contained on, or that can be accessed through, our website is not a part of this prospectus. We have included our website address in this prospectus solely as an inactive textual reference.</w:t>
      </w:r>
    </w:p>
    <w:p>
      <w:pPr>
        <w:spacing w:after="0" w:line="69"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The Selling Shareholders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135255</wp:posOffset>
            </wp:positionV>
            <wp:extent cx="1354455" cy="222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354455"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American Depositary Shares representing Ordinary Shares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Warrants to Purchase Ordinary Shares or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181610</wp:posOffset>
            </wp:positionV>
            <wp:extent cx="115189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320" w:right="459"/>
        <w:spacing w:after="0" w:line="251" w:lineRule="auto"/>
        <w:rPr>
          <w:sz w:val="20"/>
          <w:szCs w:val="20"/>
          <w:color w:val="auto"/>
        </w:rPr>
      </w:pPr>
      <w:r>
        <w:rPr>
          <w:rFonts w:ascii="Times New Roman" w:cs="Times New Roman" w:eastAsia="Times New Roman" w:hAnsi="Times New Roman"/>
          <w:sz w:val="12"/>
          <w:szCs w:val="12"/>
          <w:color w:val="auto"/>
        </w:rPr>
        <w:t>We and/or any selling security holder may offer and sell from time to time the securities described in this prospectus, either individually or in any combination, in one or more offerings at prices and on terms that will be determined at the time of the offering.</w:t>
      </w:r>
    </w:p>
    <w:p>
      <w:pPr>
        <w:spacing w:after="0" w:line="136" w:lineRule="exact"/>
        <w:rPr>
          <w:sz w:val="20"/>
          <w:szCs w:val="20"/>
          <w:color w:val="auto"/>
        </w:rPr>
      </w:pPr>
    </w:p>
    <w:p>
      <w:pPr>
        <w:ind w:left="1320" w:right="239"/>
        <w:spacing w:after="0" w:line="229" w:lineRule="auto"/>
        <w:rPr>
          <w:sz w:val="20"/>
          <w:szCs w:val="20"/>
          <w:color w:val="auto"/>
        </w:rPr>
      </w:pPr>
      <w:r>
        <w:rPr>
          <w:rFonts w:ascii="Times New Roman" w:cs="Times New Roman" w:eastAsia="Times New Roman" w:hAnsi="Times New Roman"/>
          <w:sz w:val="12"/>
          <w:szCs w:val="12"/>
          <w:color w:val="auto"/>
        </w:rPr>
        <w:t>This prospectus describes the general terms of these securities and the general manner in which these securities will be offered. We will provide you with the specific terms of any offering in one or more supplements to this prospectus. We and/or our selling security holders may offer these securities in amounts, at prices and on terms determined at the time of offering. We and/or our selling security holders may sell the securities through public or private transactions directly to you, through agents, or through underwriters and dealers on or off the Nasdaq Global Market.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44" w:lineRule="exact"/>
        <w:rPr>
          <w:sz w:val="20"/>
          <w:szCs w:val="20"/>
          <w:color w:val="auto"/>
        </w:rPr>
      </w:pPr>
    </w:p>
    <w:p>
      <w:pPr>
        <w:ind w:left="1320" w:right="199"/>
        <w:spacing w:after="0" w:line="229" w:lineRule="auto"/>
        <w:rPr>
          <w:sz w:val="20"/>
          <w:szCs w:val="20"/>
          <w:color w:val="auto"/>
        </w:rPr>
      </w:pPr>
      <w:r>
        <w:rPr>
          <w:rFonts w:ascii="Times New Roman" w:cs="Times New Roman" w:eastAsia="Times New Roman" w:hAnsi="Times New Roman"/>
          <w:sz w:val="12"/>
          <w:szCs w:val="12"/>
          <w:color w:val="auto"/>
        </w:rPr>
        <w:t>Our securities may be sold directly by us or any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Other than any securities sold in connection with a rights offering, we will only sell securities pursuant to this prospectus for which preferential subscription rights shall have been waived by our shareholders in accordance with French law.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w:t>
      </w:r>
    </w:p>
    <w:p>
      <w:pPr>
        <w:spacing w:after="0" w:line="144" w:lineRule="exact"/>
        <w:rPr>
          <w:sz w:val="20"/>
          <w:szCs w:val="20"/>
          <w:color w:val="auto"/>
        </w:rPr>
      </w:pPr>
    </w:p>
    <w:p>
      <w:pPr>
        <w:ind w:left="1320" w:right="199"/>
        <w:spacing w:after="0" w:line="227" w:lineRule="auto"/>
        <w:rPr>
          <w:sz w:val="20"/>
          <w:szCs w:val="20"/>
          <w:color w:val="auto"/>
        </w:rPr>
      </w:pPr>
      <w:r>
        <w:rPr>
          <w:rFonts w:ascii="Times New Roman" w:cs="Times New Roman" w:eastAsia="Times New Roman" w:hAnsi="Times New Roman"/>
          <w:sz w:val="12"/>
          <w:szCs w:val="12"/>
          <w:color w:val="auto"/>
        </w:rPr>
        <w:t>Our ADSs are listed on the Nasdaq Global Market under the symbol “ABVX.” On July 22, 2025, the last reported sale price of the ADSs on the Nasdaq Global Market was $10.00 per ADS. Our ordinary shares are listed on Euronext Paris under the symbol “ABVX.” On July 22, 2025, the closing price of our ordinary shares on Euronext Paris was €8.90 per ordinary share. Each ADS represents the right to receive one ordinary share, and the ADSs may be evidenced by American Depositary Receipts, or ADRs. The applicable prospectus supplement will contain information, where applicable, as to any other listing, if any, on the Nasdaq Global Market or any securities market or other securities exchange of the securities covered by the prospectus supplement. There is currently no market through which warrants may be sold, and purchasers may not be able to resell warrants purchased under this prospectus. This may affect the pricing of any warrants in the secondary market, the transparency and availability of trading prices, the liquidity of the warrants and the extent of issuer regulation.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167005</wp:posOffset>
            </wp:positionV>
            <wp:extent cx="11518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320" w:right="299"/>
        <w:spacing w:after="0" w:line="241"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Before deciding whether to invest in our securities, you should consider carefully the risks that we have described under the caption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6 of this prospectus and in our most recent Annual Report on Form 20-F and any other reports or documents incorporated by reference into this prospectus. We may also include specific risk factors in supplements to this prospectus under the caption “Risk Factors.” This prospectus may not be used to sell our securities unless accompanied by a prospectus supplement.</w:t>
      </w:r>
    </w:p>
    <w:p>
      <w:pPr>
        <w:spacing w:after="0" w:line="151" w:lineRule="exact"/>
        <w:rPr>
          <w:sz w:val="20"/>
          <w:szCs w:val="20"/>
          <w:color w:val="auto"/>
        </w:rPr>
      </w:pPr>
    </w:p>
    <w:p>
      <w:pPr>
        <w:ind w:left="1320" w:right="239"/>
        <w:spacing w:after="0" w:line="232" w:lineRule="auto"/>
        <w:rPr>
          <w:sz w:val="20"/>
          <w:szCs w:val="20"/>
          <w:color w:val="auto"/>
        </w:rPr>
      </w:pPr>
      <w:r>
        <w:rPr>
          <w:rFonts w:ascii="Times New Roman" w:cs="Times New Roman" w:eastAsia="Times New Roman" w:hAnsi="Times New Roman"/>
          <w:sz w:val="12"/>
          <w:szCs w:val="12"/>
          <w:b w:val="1"/>
          <w:bCs w:val="1"/>
          <w:color w:val="auto"/>
        </w:rPr>
        <w:t>Owning our securities may subject you to tax consequences both in France and in the United States. This prospectus and any applicable prospectus supplement may not describe these tax consequences fully. You should read the tax discussion in any applicable prospectus supplement. In addition, your ability to enforce civil liabilities under U.S. federal securities laws may be affected adversely by the fact that we are incorporated under the laws of France, many of the members of our board of directors and experts named in this prospectus are residents of France or elsewhere outside of the United States, and a substantial portion of our assets and the assets of such persons are located outside the United States. See “Enforcement of Civil Liabilities.”</w:t>
      </w:r>
    </w:p>
    <w:p>
      <w:pPr>
        <w:spacing w:after="0" w:line="139" w:lineRule="exact"/>
        <w:rPr>
          <w:sz w:val="20"/>
          <w:szCs w:val="20"/>
          <w:color w:val="auto"/>
        </w:rPr>
      </w:pPr>
    </w:p>
    <w:p>
      <w:pPr>
        <w:ind w:left="1320" w:right="359"/>
        <w:spacing w:after="0" w:line="258"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165735</wp:posOffset>
            </wp:positionV>
            <wp:extent cx="11518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The date of this prospectus is July 23, 2025.</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642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8"/>
        </w:trPr>
        <w:tc>
          <w:tcPr>
            <w:tcW w:w="6420" w:type="dxa"/>
            <w:vAlign w:val="bottom"/>
            <w:gridSpan w:val="18"/>
            <w:vMerge w:val="continue"/>
          </w:tcPr>
          <w:p>
            <w:pPr>
              <w:spacing w:after="0"/>
              <w:rPr>
                <w:sz w:val="10"/>
                <w:szCs w:val="10"/>
                <w:color w:val="auto"/>
              </w:rPr>
            </w:pPr>
          </w:p>
        </w:tc>
        <w:tc>
          <w:tcPr>
            <w:tcW w:w="1880" w:type="dxa"/>
            <w:vAlign w:val="bottom"/>
          </w:tcPr>
          <w:p>
            <w:pPr>
              <w:spacing w:after="0"/>
              <w:rPr>
                <w:sz w:val="10"/>
                <w:szCs w:val="10"/>
                <w:color w:val="auto"/>
              </w:rPr>
            </w:pPr>
          </w:p>
        </w:tc>
        <w:tc>
          <w:tcPr>
            <w:tcW w:w="3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0"/>
        </w:trPr>
        <w:tc>
          <w:tcPr>
            <w:tcW w:w="16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PROSPECTUS SUMMARY</w:t>
            </w:r>
          </w:p>
        </w:tc>
        <w:tc>
          <w:tcPr>
            <w:tcW w:w="100" w:type="dxa"/>
            <w:vAlign w:val="bottom"/>
            <w:tcBorders>
              <w:top w:val="single" w:sz="8" w:color="0000EE"/>
            </w:tcBorders>
          </w:tcPr>
          <w:p>
            <w:pPr>
              <w:spacing w:after="0"/>
              <w:rPr>
                <w:sz w:val="13"/>
                <w:szCs w:val="13"/>
                <w:color w:val="auto"/>
              </w:rPr>
            </w:pPr>
          </w:p>
        </w:tc>
        <w:tc>
          <w:tcPr>
            <w:tcW w:w="4680" w:type="dxa"/>
            <w:vAlign w:val="bottom"/>
            <w:gridSpan w:val="10"/>
          </w:tcPr>
          <w:p>
            <w:pPr>
              <w:spacing w:after="0"/>
              <w:rPr>
                <w:sz w:val="13"/>
                <w:szCs w:val="13"/>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0"/>
        </w:trPr>
        <w:tc>
          <w:tcPr>
            <w:tcW w:w="98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5440" w:type="dxa"/>
            <w:vAlign w:val="bottom"/>
            <w:gridSpan w:val="15"/>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0"/>
        </w:trPr>
        <w:tc>
          <w:tcPr>
            <w:tcW w:w="6420" w:type="dxa"/>
            <w:vAlign w:val="bottom"/>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0"/>
        </w:trPr>
        <w:tc>
          <w:tcPr>
            <w:tcW w:w="1240" w:type="dxa"/>
            <w:vAlign w:val="bottom"/>
            <w:tcBorders>
              <w:top w:val="single" w:sz="8" w:color="0000EE"/>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2940" w:type="dxa"/>
            <w:vAlign w:val="bottom"/>
            <w:tcBorders>
              <w:top w:val="single" w:sz="8" w:color="0000EE"/>
            </w:tcBorders>
            <w:gridSpan w:val="11"/>
          </w:tcPr>
          <w:p>
            <w:pPr>
              <w:spacing w:after="0"/>
              <w:rPr>
                <w:sz w:val="13"/>
                <w:szCs w:val="13"/>
                <w:color w:val="auto"/>
              </w:rPr>
            </w:pPr>
          </w:p>
        </w:tc>
        <w:tc>
          <w:tcPr>
            <w:tcW w:w="2240" w:type="dxa"/>
            <w:vAlign w:val="bottom"/>
            <w:gridSpan w:val="2"/>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0"/>
        </w:trPr>
        <w:tc>
          <w:tcPr>
            <w:tcW w:w="200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SECURITY HOLDERS</w:t>
            </w:r>
          </w:p>
        </w:tc>
        <w:tc>
          <w:tcPr>
            <w:tcW w:w="4420" w:type="dxa"/>
            <w:vAlign w:val="bottom"/>
            <w:gridSpan w:val="8"/>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0"/>
        </w:trPr>
        <w:tc>
          <w:tcPr>
            <w:tcW w:w="6420" w:type="dxa"/>
            <w:vAlign w:val="bottom"/>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6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SHARE CAPITAL</w:t>
            </w:r>
          </w:p>
        </w:tc>
        <w:tc>
          <w:tcPr>
            <w:tcW w:w="4160" w:type="dxa"/>
            <w:vAlign w:val="bottom"/>
            <w:gridSpan w:val="7"/>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0"/>
        </w:trPr>
        <w:tc>
          <w:tcPr>
            <w:tcW w:w="452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w w:val="99"/>
              </w:rPr>
              <w:t>LIMITATIONS AFFECTING SHAREHOLDERS OF A FRENCH COMPANY</w:t>
            </w:r>
          </w:p>
        </w:tc>
        <w:tc>
          <w:tcPr>
            <w:tcW w:w="1900" w:type="dxa"/>
            <w:vAlign w:val="bottom"/>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0"/>
        </w:trPr>
        <w:tc>
          <w:tcPr>
            <w:tcW w:w="340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AMERICAN DEPOSITARY SHARES</w:t>
            </w:r>
          </w:p>
        </w:tc>
        <w:tc>
          <w:tcPr>
            <w:tcW w:w="3020" w:type="dxa"/>
            <w:vAlign w:val="bottom"/>
            <w:gridSpan w:val="3"/>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0"/>
        </w:trPr>
        <w:tc>
          <w:tcPr>
            <w:tcW w:w="6420" w:type="dxa"/>
            <w:vAlign w:val="bottom"/>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DESCRIPTION OF WARRANTS</w:t>
            </w: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0"/>
        </w:trPr>
        <w:tc>
          <w:tcPr>
            <w:tcW w:w="70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3"/>
              </w:rPr>
              <w:t>TAXATION</w:t>
            </w:r>
          </w:p>
        </w:tc>
        <w:tc>
          <w:tcPr>
            <w:tcW w:w="1240" w:type="dxa"/>
            <w:vAlign w:val="bottom"/>
            <w:tcBorders>
              <w:top w:val="single" w:sz="8" w:color="0000EE"/>
            </w:tcBorders>
            <w:gridSpan w:val="7"/>
          </w:tcPr>
          <w:p>
            <w:pPr>
              <w:spacing w:after="0"/>
              <w:rPr>
                <w:sz w:val="13"/>
                <w:szCs w:val="13"/>
                <w:color w:val="auto"/>
              </w:rPr>
            </w:pPr>
          </w:p>
        </w:tc>
        <w:tc>
          <w:tcPr>
            <w:tcW w:w="4480" w:type="dxa"/>
            <w:vAlign w:val="bottom"/>
            <w:gridSpan w:val="9"/>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50"/>
        </w:trPr>
        <w:tc>
          <w:tcPr>
            <w:tcW w:w="114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7"/>
              </w:rPr>
              <w:t>LEGAL MATTERS</w:t>
            </w:r>
          </w:p>
        </w:tc>
        <w:tc>
          <w:tcPr>
            <w:tcW w:w="5280" w:type="dxa"/>
            <w:vAlign w:val="bottom"/>
            <w:gridSpan w:val="14"/>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50"/>
        </w:trPr>
        <w:tc>
          <w:tcPr>
            <w:tcW w:w="60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5"/>
              </w:rPr>
              <w:t>EXPERTS</w:t>
            </w:r>
          </w:p>
        </w:tc>
        <w:tc>
          <w:tcPr>
            <w:tcW w:w="5820" w:type="dxa"/>
            <w:vAlign w:val="bottom"/>
            <w:gridSpan w:val="17"/>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50"/>
        </w:trPr>
        <w:tc>
          <w:tcPr>
            <w:tcW w:w="252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3900" w:type="dxa"/>
            <w:vAlign w:val="bottom"/>
            <w:gridSpan w:val="6"/>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380" w:type="dxa"/>
            <w:vAlign w:val="bottom"/>
            <w:gridSpan w:val="5"/>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50"/>
        </w:trPr>
        <w:tc>
          <w:tcPr>
            <w:tcW w:w="6420" w:type="dxa"/>
            <w:vAlign w:val="bottom"/>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50"/>
        </w:trPr>
        <w:tc>
          <w:tcPr>
            <w:tcW w:w="3340" w:type="dxa"/>
            <w:vAlign w:val="bottom"/>
            <w:tcBorders>
              <w:top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EXPENSES ASSOCIATED WITH REGISTRATION</w:t>
            </w:r>
          </w:p>
        </w:tc>
        <w:tc>
          <w:tcPr>
            <w:tcW w:w="3080" w:type="dxa"/>
            <w:vAlign w:val="bottom"/>
            <w:gridSpan w:val="4"/>
          </w:tcPr>
          <w:p>
            <w:pPr>
              <w:spacing w:after="0"/>
              <w:rPr>
                <w:sz w:val="13"/>
                <w:szCs w:val="13"/>
                <w:color w:val="auto"/>
              </w:rPr>
            </w:pPr>
          </w:p>
        </w:tc>
        <w:tc>
          <w:tcPr>
            <w:tcW w:w="22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F-3 that we filed with the Securities and Exchange Commission, or SEC, using a “shelf” registration process available to us as a “well-known seasoned issuer,” as defined in Rule 405 under the Securities Act of 1933, as amended, or the Securities Act. Under this shelf registration process, we may offer ordinary shares, including ordinary shares represented by ADSs, and warrants to purchase ordinary shares or ADSs, either individually or in combination, in one or more offerings. No limit exists on the aggregate number or amount of securities we may sell pursuant to the registration statement of which this prospectus is a part. This prospectus provides you with a general description of the securities we may offer.</w:t>
      </w:r>
    </w:p>
    <w:p>
      <w:pPr>
        <w:spacing w:after="0" w:line="146" w:lineRule="exact"/>
        <w:rPr>
          <w:sz w:val="20"/>
          <w:szCs w:val="20"/>
          <w:color w:val="auto"/>
        </w:rPr>
      </w:pPr>
    </w:p>
    <w:p>
      <w:pPr>
        <w:ind w:left="1320" w:right="459"/>
        <w:spacing w:after="0" w:line="261" w:lineRule="auto"/>
        <w:rPr>
          <w:sz w:val="20"/>
          <w:szCs w:val="20"/>
          <w:color w:val="auto"/>
        </w:rPr>
      </w:pPr>
      <w:r>
        <w:rPr>
          <w:rFonts w:ascii="Times New Roman" w:cs="Times New Roman" w:eastAsia="Times New Roman" w:hAnsi="Times New Roman"/>
          <w:sz w:val="14"/>
          <w:szCs w:val="14"/>
          <w:color w:val="auto"/>
        </w:rPr>
        <w:t>Under this shelf registration process, we and/or our selling security holders may offer the securities described in this prospectus from time to time at prices and on terms to be determined by market conditions at the time of offering. Registration of the securities covered by this prospectus does not mean that these securities will necessarily be offered or sold. This prospectus provides you with a general description of the securities we and/or our selling security holders may offer. Each time we and/or our selling security holders offer a type or series of securities, we will provide a prospectus supplement that will describe the specific amounts, prices and other important terms of the securities.</w:t>
      </w:r>
    </w:p>
    <w:p>
      <w:pPr>
        <w:spacing w:after="0" w:line="143"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Each time we and/or our selling security 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w:t>
      </w:r>
    </w:p>
    <w:p>
      <w:pPr>
        <w:spacing w:after="0" w:line="230" w:lineRule="exact"/>
        <w:rPr>
          <w:sz w:val="20"/>
          <w:szCs w:val="20"/>
          <w:color w:val="auto"/>
        </w:rPr>
      </w:pPr>
    </w:p>
    <w:p>
      <w:pPr>
        <w:ind w:left="1320" w:right="799"/>
        <w:spacing w:after="0" w:line="290"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37"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person to give any information or to make any representation other than those contained in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it relates,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46"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40"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summaries of certain provisions contained in some of the documents described herein, but you should refer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39"/>
        <w:spacing w:after="0" w:line="287" w:lineRule="auto"/>
        <w:rPr>
          <w:sz w:val="20"/>
          <w:szCs w:val="20"/>
          <w:color w:val="auto"/>
        </w:rPr>
      </w:pPr>
      <w:r>
        <w:rPr>
          <w:rFonts w:ascii="Times New Roman" w:cs="Times New Roman" w:eastAsia="Times New Roman" w:hAnsi="Times New Roman"/>
          <w:sz w:val="14"/>
          <w:szCs w:val="14"/>
          <w:color w:val="auto"/>
        </w:rPr>
        <w:t>Unless otherwise indicated in this prospectus, “Abivax,” “the Company,” “our Company,” “we,” “us” and “our” refer to Abivax SA and its consolidated subsidiary, taken as a whole.</w:t>
      </w:r>
    </w:p>
    <w:p>
      <w:pPr>
        <w:spacing w:after="0" w:line="124" w:lineRule="exact"/>
        <w:rPr>
          <w:sz w:val="20"/>
          <w:szCs w:val="20"/>
          <w:color w:val="auto"/>
        </w:rPr>
      </w:pPr>
    </w:p>
    <w:p>
      <w:pPr>
        <w:ind w:left="1320" w:right="399"/>
        <w:spacing w:after="0" w:line="287" w:lineRule="auto"/>
        <w:rPr>
          <w:sz w:val="20"/>
          <w:szCs w:val="20"/>
          <w:color w:val="auto"/>
        </w:rPr>
      </w:pPr>
      <w:r>
        <w:rPr>
          <w:rFonts w:ascii="Times New Roman" w:cs="Times New Roman" w:eastAsia="Times New Roman" w:hAnsi="Times New Roman"/>
          <w:sz w:val="14"/>
          <w:szCs w:val="14"/>
          <w:color w:val="auto"/>
        </w:rPr>
        <w:t>In this prospectus, references to “euro” or “€” are to the legal currency of the countries of the European Union, including the Republic of France, and references to “dollars,” “U.S. dollars” or “$” are to the legal currency of the United States of America.</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4560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503545" cy="4560570"/>
                    </a:xfrm>
                    <a:prstGeom prst="rect">
                      <a:avLst/>
                    </a:prstGeom>
                    <a:noFill/>
                  </pic:spPr>
                </pic:pic>
              </a:graphicData>
            </a:graphic>
          </wp:anchor>
        </w:drawing>
      </w:r>
    </w:p>
    <w:p>
      <w:pPr>
        <w:spacing w:after="0" w:line="37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9" w:lineRule="exact"/>
        <w:rPr>
          <w:sz w:val="20"/>
          <w:szCs w:val="20"/>
          <w:color w:val="auto"/>
        </w:rPr>
      </w:pPr>
    </w:p>
    <w:p>
      <w:pPr>
        <w:ind w:left="1460" w:right="339"/>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or free writing prospectus.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6" w:lineRule="exact"/>
        <w:rPr>
          <w:sz w:val="20"/>
          <w:szCs w:val="20"/>
          <w:color w:val="auto"/>
        </w:rPr>
      </w:pPr>
    </w:p>
    <w:p>
      <w:pPr>
        <w:ind w:left="1460" w:right="359"/>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focused on developing therapeutics that harness the body’s natural regulatory mechanisms to stabilize the immune response in patients with chronic inflammatory diseases. Our lead drug candidate, obefazimod, is currently being evaluated in the treatment of ulcerative colitis, or UC, and Crohn’s disease. We have also launched a formal process evaluating oral and injectable combination therapy candidates with obefazimod in UC. In addition, we have launched a research and development program to generate new potential drug candidates to strengthen our intellectual property portfolio on the miR-124 platform and to identify additional drug candidates from our proprietary small molecule library that includes additional miR-124 enhancers.</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460" w:right="459"/>
        <w:spacing w:after="0" w:line="265" w:lineRule="auto"/>
        <w:rPr>
          <w:sz w:val="20"/>
          <w:szCs w:val="20"/>
          <w:color w:val="auto"/>
        </w:rPr>
      </w:pPr>
      <w:r>
        <w:rPr>
          <w:rFonts w:ascii="Times New Roman" w:cs="Times New Roman" w:eastAsia="Times New Roman" w:hAnsi="Times New Roman"/>
          <w:sz w:val="14"/>
          <w:szCs w:val="14"/>
          <w:color w:val="auto"/>
        </w:rPr>
        <w:t xml:space="preserve">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 +33 (0) 1 53 83 09 63. We have one wholly owned subsidiary, Abivax LLC, a Delaware limited liability company, formed on March 20, 2023.</w:t>
      </w:r>
    </w:p>
    <w:p>
      <w:pPr>
        <w:spacing w:after="0" w:line="1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Our agent for service of process in the United States is CT Corporation System, 1015 15th Street, N.W., Suite 1000, Washington, D.C. 20005.</w:t>
      </w:r>
    </w:p>
    <w:p>
      <w:pPr>
        <w:spacing w:after="0" w:line="179" w:lineRule="exact"/>
        <w:rPr>
          <w:sz w:val="20"/>
          <w:szCs w:val="20"/>
          <w:color w:val="auto"/>
        </w:rPr>
      </w:pPr>
    </w:p>
    <w:p>
      <w:pPr>
        <w:ind w:left="1460" w:right="379"/>
        <w:spacing w:after="0" w:line="264" w:lineRule="auto"/>
        <w:rPr>
          <w:sz w:val="20"/>
          <w:szCs w:val="20"/>
          <w:color w:val="auto"/>
        </w:rPr>
      </w:pPr>
      <w:r>
        <w:rPr>
          <w:rFonts w:ascii="Times New Roman" w:cs="Times New Roman" w:eastAsia="Times New Roman" w:hAnsi="Times New Roman"/>
          <w:sz w:val="14"/>
          <w:szCs w:val="14"/>
          <w:color w:val="auto"/>
        </w:rPr>
        <w:t>The SEC maintains a website that contains reports, proxy information statements and other information regarding issuers that file electronically with the SEC. The address of that site is www.sec.gov. Our website address is www.abivax.com. The reference to our website is an inactive textual reference only and information contained in, or that can be accessed through, our website or any other website cited in this prospectus is not part of this prospectus.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6" w:lineRule="exact"/>
        <w:rPr>
          <w:sz w:val="20"/>
          <w:szCs w:val="20"/>
          <w:color w:val="auto"/>
        </w:rPr>
      </w:pPr>
    </w:p>
    <w:p>
      <w:pPr>
        <w:ind w:left="1460" w:right="439"/>
        <w:spacing w:after="0" w:line="270"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61" w:lineRule="exact"/>
        <w:rPr>
          <w:sz w:val="20"/>
          <w:szCs w:val="20"/>
          <w:color w:val="auto"/>
        </w:rPr>
      </w:pPr>
    </w:p>
    <w:p>
      <w:pPr>
        <w:ind w:left="5600" w:right="1879" w:hanging="3728"/>
        <w:spacing w:after="0" w:line="682" w:lineRule="auto"/>
        <w:tabs>
          <w:tab w:leader="none" w:pos="218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auditor attestation requirements of Section 404 of the Sarbanes-Oxley Act of 2002; and 3</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4499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503545" cy="4499610"/>
                    </a:xfrm>
                    <a:prstGeom prst="rect">
                      <a:avLst/>
                    </a:prstGeom>
                    <a:noFill/>
                  </pic:spPr>
                </pic:pic>
              </a:graphicData>
            </a:graphic>
          </wp:anchor>
        </w:drawing>
      </w:r>
    </w:p>
    <w:p>
      <w:pPr>
        <w:spacing w:after="0" w:line="373" w:lineRule="exact"/>
        <w:rPr>
          <w:sz w:val="20"/>
          <w:szCs w:val="20"/>
          <w:color w:val="auto"/>
        </w:rPr>
      </w:pPr>
    </w:p>
    <w:p>
      <w:pPr>
        <w:ind w:left="2200" w:right="359" w:hanging="328"/>
        <w:spacing w:after="0" w:line="270" w:lineRule="auto"/>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36" w:lineRule="exact"/>
        <w:rPr>
          <w:sz w:val="20"/>
          <w:szCs w:val="20"/>
          <w:color w:val="auto"/>
        </w:rPr>
      </w:pPr>
    </w:p>
    <w:p>
      <w:pPr>
        <w:ind w:left="1460" w:right="439"/>
        <w:spacing w:after="0" w:line="259" w:lineRule="auto"/>
        <w:rPr>
          <w:sz w:val="20"/>
          <w:szCs w:val="20"/>
          <w:color w:val="auto"/>
        </w:rPr>
      </w:pPr>
      <w:r>
        <w:rPr>
          <w:rFonts w:ascii="Times New Roman" w:cs="Times New Roman" w:eastAsia="Times New Roman" w:hAnsi="Times New Roman"/>
          <w:sz w:val="14"/>
          <w:szCs w:val="14"/>
          <w:color w:val="auto"/>
        </w:rPr>
        <w:t>We may take advantage of these provisions until December 31, 2028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46" w:lineRule="exact"/>
        <w:rPr>
          <w:sz w:val="20"/>
          <w:szCs w:val="20"/>
          <w:color w:val="auto"/>
        </w:rPr>
      </w:pPr>
    </w:p>
    <w:p>
      <w:pPr>
        <w:ind w:left="1460" w:right="439"/>
        <w:spacing w:after="0" w:line="258" w:lineRule="auto"/>
        <w:rPr>
          <w:sz w:val="20"/>
          <w:szCs w:val="20"/>
          <w:color w:val="auto"/>
        </w:rPr>
      </w:pPr>
      <w:r>
        <w:rPr>
          <w:rFonts w:ascii="Times New Roman" w:cs="Times New Roman" w:eastAsia="Times New Roman" w:hAnsi="Times New Roman"/>
          <w:sz w:val="14"/>
          <w:szCs w:val="14"/>
          <w:color w:val="auto"/>
        </w:rPr>
        <w:t>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6" w:lineRule="exact"/>
        <w:rPr>
          <w:sz w:val="20"/>
          <w:szCs w:val="20"/>
          <w:color w:val="auto"/>
        </w:rPr>
      </w:pPr>
    </w:p>
    <w:p>
      <w:pPr>
        <w:ind w:left="1460" w:right="379"/>
        <w:spacing w:after="0" w:line="258" w:lineRule="auto"/>
        <w:rPr>
          <w:sz w:val="20"/>
          <w:szCs w:val="20"/>
          <w:color w:val="auto"/>
        </w:rPr>
      </w:pPr>
      <w:r>
        <w:rPr>
          <w:rFonts w:ascii="Times New Roman" w:cs="Times New Roman" w:eastAsia="Times New Roman" w:hAnsi="Times New Roman"/>
          <w:sz w:val="14"/>
          <w:szCs w:val="14"/>
          <w:color w:val="auto"/>
        </w:rPr>
        <w:t>We are also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47" w:lineRule="exact"/>
        <w:rPr>
          <w:sz w:val="20"/>
          <w:szCs w:val="20"/>
          <w:color w:val="auto"/>
        </w:rPr>
      </w:pPr>
    </w:p>
    <w:p>
      <w:pPr>
        <w:ind w:left="1460" w:right="579"/>
        <w:spacing w:after="0" w:line="264"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The Securities We and/or Our Selling Security Holders May Offer</w:t>
      </w:r>
    </w:p>
    <w:p>
      <w:pPr>
        <w:spacing w:after="0" w:line="96" w:lineRule="exact"/>
        <w:rPr>
          <w:sz w:val="20"/>
          <w:szCs w:val="20"/>
          <w:color w:val="auto"/>
        </w:rPr>
      </w:pPr>
    </w:p>
    <w:p>
      <w:pPr>
        <w:ind w:left="1460" w:right="379"/>
        <w:spacing w:after="0" w:line="264" w:lineRule="auto"/>
        <w:rPr>
          <w:sz w:val="20"/>
          <w:szCs w:val="20"/>
          <w:color w:val="auto"/>
        </w:rPr>
      </w:pPr>
      <w:r>
        <w:rPr>
          <w:rFonts w:ascii="Times New Roman" w:cs="Times New Roman" w:eastAsia="Times New Roman" w:hAnsi="Times New Roman"/>
          <w:sz w:val="14"/>
          <w:szCs w:val="14"/>
          <w:color w:val="auto"/>
        </w:rPr>
        <w:t>Under this prospectus, we and/or our selling security holders may offer ordinary shares, including ADSs representing our ordinary shares, and warrants to purchase ordinary shares or ADSs, either individually or in any combination, from time to time at prices and on terms to be determined by market conditions at the time of the offering. This prospectus provides you with a general description of the securities we and/or our selling security holders may offer. Each time we and/or our selling security holders offer a type or series of securities under this</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3388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503545" cy="3388360"/>
                    </a:xfrm>
                    <a:prstGeom prst="rect">
                      <a:avLst/>
                    </a:prstGeom>
                    <a:noFill/>
                  </pic:spPr>
                </pic:pic>
              </a:graphicData>
            </a:graphic>
          </wp:anchor>
        </w:drawing>
      </w:r>
    </w:p>
    <w:p>
      <w:pPr>
        <w:spacing w:after="0" w:line="373" w:lineRule="exact"/>
        <w:rPr>
          <w:sz w:val="20"/>
          <w:szCs w:val="20"/>
          <w:color w:val="auto"/>
        </w:rPr>
      </w:pPr>
    </w:p>
    <w:p>
      <w:pPr>
        <w:ind w:left="1460" w:right="639"/>
        <w:spacing w:after="0" w:line="287" w:lineRule="auto"/>
        <w:rPr>
          <w:sz w:val="20"/>
          <w:szCs w:val="20"/>
          <w:color w:val="auto"/>
        </w:rPr>
      </w:pPr>
      <w:r>
        <w:rPr>
          <w:rFonts w:ascii="Times New Roman" w:cs="Times New Roman" w:eastAsia="Times New Roman" w:hAnsi="Times New Roman"/>
          <w:sz w:val="14"/>
          <w:szCs w:val="14"/>
          <w:color w:val="auto"/>
        </w:rPr>
        <w:t>prospectus, we will provide a prospectus supplement that will describe the specific amounts, prices and other important terms of the securities, including, to the extent applicable:</w:t>
      </w:r>
    </w:p>
    <w:p>
      <w:pPr>
        <w:spacing w:after="0" w:line="50" w:lineRule="exact"/>
        <w:rPr>
          <w:sz w:val="20"/>
          <w:szCs w:val="20"/>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or sinking fund terms, if any;</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exercise prices, if any.</w:t>
      </w:r>
    </w:p>
    <w:p>
      <w:pPr>
        <w:spacing w:after="0" w:line="179" w:lineRule="exact"/>
        <w:rPr>
          <w:sz w:val="20"/>
          <w:szCs w:val="20"/>
          <w:color w:val="auto"/>
        </w:rPr>
      </w:pPr>
    </w:p>
    <w:p>
      <w:pPr>
        <w:ind w:left="1460" w:right="379"/>
        <w:spacing w:after="0" w:line="270" w:lineRule="auto"/>
        <w:rPr>
          <w:sz w:val="20"/>
          <w:szCs w:val="20"/>
          <w:color w:val="auto"/>
        </w:rPr>
      </w:pPr>
      <w:r>
        <w:rPr>
          <w:rFonts w:ascii="Times New Roman" w:cs="Times New Roman" w:eastAsia="Times New Roman" w:hAnsi="Times New Roman"/>
          <w:sz w:val="14"/>
          <w:szCs w:val="14"/>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36" w:lineRule="exact"/>
        <w:rPr>
          <w:sz w:val="20"/>
          <w:szCs w:val="20"/>
          <w:color w:val="auto"/>
        </w:rPr>
      </w:pPr>
    </w:p>
    <w:p>
      <w:pPr>
        <w:ind w:left="1460" w:right="659"/>
        <w:spacing w:after="0" w:line="270" w:lineRule="auto"/>
        <w:rPr>
          <w:sz w:val="20"/>
          <w:szCs w:val="20"/>
          <w:color w:val="auto"/>
        </w:rPr>
      </w:pPr>
      <w:r>
        <w:rPr>
          <w:rFonts w:ascii="Times New Roman" w:cs="Times New Roman" w:eastAsia="Times New Roman" w:hAnsi="Times New Roman"/>
          <w:sz w:val="14"/>
          <w:szCs w:val="14"/>
          <w:color w:val="auto"/>
        </w:rPr>
        <w:t>We and/or our selling security holders may sell the securities directly to investors or to or through agents, underwriters or dealers. We, and our agents or underwriters, reserve the right to accept or reject all or part of any proposed purchase of securities. If we and/or our selling security holders offer securities through agents or underwriters, we will include in the applicable prospectus supplement:</w:t>
      </w:r>
    </w:p>
    <w:p>
      <w:pPr>
        <w:spacing w:after="0" w:line="61" w:lineRule="exact"/>
        <w:rPr>
          <w:sz w:val="20"/>
          <w:szCs w:val="20"/>
          <w:color w:val="auto"/>
        </w:rPr>
      </w:pPr>
    </w:p>
    <w:p>
      <w:pPr>
        <w:ind w:left="2200" w:hanging="32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and commissions to be paid to them;</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104" w:lineRule="exact"/>
        <w:rPr>
          <w:rFonts w:ascii="Times New Roman" w:cs="Times New Roman" w:eastAsia="Times New Roman" w:hAnsi="Times New Roman"/>
          <w:sz w:val="14"/>
          <w:szCs w:val="14"/>
          <w:color w:val="auto"/>
        </w:rPr>
      </w:pPr>
    </w:p>
    <w:p>
      <w:pPr>
        <w:ind w:left="2200" w:hanging="32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or our selling security holders.</w:t>
      </w:r>
    </w:p>
    <w:p>
      <w:pPr>
        <w:spacing w:after="0" w:line="2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it is accompanied by a prospectus supplement.</w:t>
      </w:r>
    </w:p>
    <w:p>
      <w:pPr>
        <w:spacing w:after="0" w:line="2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1"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20-F as updated by our subsequent filings including our Reports on Form 6-K that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contain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and in the section titled “Operating Results” incorporated by reference from our interim financial reports furnished on Form 6-K with the SEC.</w:t>
      </w:r>
    </w:p>
    <w:p>
      <w:pPr>
        <w:spacing w:after="0" w:line="146" w:lineRule="exact"/>
        <w:rPr>
          <w:sz w:val="20"/>
          <w:szCs w:val="20"/>
          <w:color w:val="auto"/>
        </w:rPr>
      </w:pPr>
    </w:p>
    <w:p>
      <w:pPr>
        <w:ind w:left="1320" w:right="359"/>
        <w:spacing w:after="0" w:line="261" w:lineRule="auto"/>
        <w:rPr>
          <w:sz w:val="20"/>
          <w:szCs w:val="20"/>
          <w:color w:val="auto"/>
        </w:rPr>
      </w:pPr>
      <w:r>
        <w:rPr>
          <w:rFonts w:ascii="Times New Roman" w:cs="Times New Roman" w:eastAsia="Times New Roman" w:hAnsi="Times New Roman"/>
          <w:sz w:val="14"/>
          <w:szCs w:val="14"/>
          <w:color w:val="auto"/>
        </w:rPr>
        <w:t>All statements other than present and historical facts and conditions contained in this prospectus, including statements regarding our future results of operations and financial positions, business strategy, plans and our objectives for future operations, are forward-looking statements. When used in this prospectus, the words “anticipate,” “believe,” “can,” “could,” “estimate,” “expect,” “intend,” “is designed to,” “may,” “might,” “plan,” “potential,” “predict,” “objective,” “should,” “will,” and “would,” or the negative of these and similar expressions, identify forward-looking statements. Forward-looking statements include, but are not limited to, statements about:</w:t>
      </w:r>
    </w:p>
    <w:p>
      <w:pPr>
        <w:spacing w:after="0" w:line="69" w:lineRule="exact"/>
        <w:rPr>
          <w:sz w:val="20"/>
          <w:szCs w:val="20"/>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attaining, maintaining and expanding marketing authorization for our drug candidates;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clinical advantages of our drug candidates;</w:t>
      </w:r>
    </w:p>
    <w:p>
      <w:pPr>
        <w:spacing w:after="0" w:line="104" w:lineRule="exact"/>
        <w:rPr>
          <w:rFonts w:ascii="Times New Roman" w:cs="Times New Roman" w:eastAsia="Times New Roman" w:hAnsi="Times New Roman"/>
          <w:sz w:val="14"/>
          <w:szCs w:val="14"/>
          <w:color w:val="auto"/>
        </w:rPr>
      </w:pPr>
    </w:p>
    <w:p>
      <w:pPr>
        <w:ind w:left="2080" w:right="219" w:hanging="340"/>
        <w:spacing w:after="0" w:line="287"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preclinical and clinical trials (and those conducted by third parties) and other research and development programs;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availability of data from our clinical trials;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advance drug candidates through clinical development;</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meetings and filings;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obtain and maintain regulatory approvals for any of our drug candidates;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drug candidates from our preclinical studies;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sales and marketing capabilities and transition into a commercial-stage company;</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as well as innovations by new and existing competitors in our industry;</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strategic relationships or partnerships;</w:t>
      </w:r>
    </w:p>
    <w:p>
      <w:pPr>
        <w:spacing w:after="0" w:line="104" w:lineRule="exact"/>
        <w:rPr>
          <w:rFonts w:ascii="Times New Roman" w:cs="Times New Roman" w:eastAsia="Times New Roman" w:hAnsi="Times New Roman"/>
          <w:sz w:val="14"/>
          <w:szCs w:val="14"/>
          <w:color w:val="auto"/>
        </w:rPr>
      </w:pPr>
    </w:p>
    <w:p>
      <w:pPr>
        <w:ind w:left="2080" w:right="359" w:hanging="340"/>
        <w:spacing w:after="0" w:line="287"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cash requirements;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revenues, capital requirements and the need for additional financing;</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w:t>
      </w:r>
    </w:p>
    <w:p>
      <w:pPr>
        <w:spacing w:after="0" w:line="104" w:lineRule="exact"/>
        <w:rPr>
          <w:rFonts w:ascii="Times New Roman" w:cs="Times New Roman" w:eastAsia="Times New Roman" w:hAnsi="Times New Roman"/>
          <w:sz w:val="14"/>
          <w:szCs w:val="14"/>
          <w:color w:val="auto"/>
        </w:rPr>
      </w:pPr>
    </w:p>
    <w:p>
      <w:pPr>
        <w:ind w:left="2080" w:right="399" w:hanging="340"/>
        <w:spacing w:after="0" w:line="270"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the global economy or global supply chain, including financial and credit market fluctuations, international trade relations, political turmoil, natural catastrophes, warfare (such as the Russia-Ukraine war and the Israel-Hamas war), and terrorist attacks; and</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in this prospectus under the caption “Risk Factors.”</w:t>
      </w:r>
    </w:p>
    <w:p>
      <w:pPr>
        <w:spacing w:after="0" w:line="1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99"/>
        <w:spacing w:after="0" w:line="258" w:lineRule="auto"/>
        <w:rPr>
          <w:sz w:val="20"/>
          <w:szCs w:val="20"/>
          <w:color w:val="auto"/>
        </w:rPr>
      </w:pPr>
      <w:r>
        <w:rPr>
          <w:rFonts w:ascii="Times New Roman" w:cs="Times New Roman" w:eastAsia="Times New Roman" w:hAnsi="Times New Roman"/>
          <w:sz w:val="14"/>
          <w:szCs w:val="14"/>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7" w:lineRule="exact"/>
        <w:rPr>
          <w:sz w:val="20"/>
          <w:szCs w:val="20"/>
          <w:color w:val="auto"/>
        </w:rPr>
      </w:pPr>
    </w:p>
    <w:p>
      <w:pPr>
        <w:ind w:left="1320" w:right="219"/>
        <w:spacing w:after="0" w:line="287" w:lineRule="auto"/>
        <w:rPr>
          <w:sz w:val="20"/>
          <w:szCs w:val="20"/>
          <w:color w:val="auto"/>
        </w:rPr>
      </w:pPr>
      <w:r>
        <w:rPr>
          <w:rFonts w:ascii="Times New Roman" w:cs="Times New Roman" w:eastAsia="Times New Roman" w:hAnsi="Times New Roman"/>
          <w:sz w:val="14"/>
          <w:szCs w:val="14"/>
          <w:color w:val="auto"/>
        </w:rPr>
        <w:t>Except as required by law, we undertake no obligation to publicly update any forward-looking statements, whether as a result of new information, future events or otherwise.</w:t>
      </w:r>
    </w:p>
    <w:p>
      <w:pPr>
        <w:spacing w:after="0" w:line="124"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this prospectus completely and with the understanding that our actual future results may be materially different from what we expect. We qualify all of our forward-looking statements by these cautionary statements.</w:t>
      </w:r>
    </w:p>
    <w:p>
      <w:pPr>
        <w:spacing w:after="0" w:line="136"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This prospectus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is generally reliable, such information is inherently imprecise.</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we offer pursuant to this prospectus. Except as described in any applicable prospectus supplement or in any free writing prospectuses that we may authorize to be provided to you in connection with a specific offering, we currently intend to use the net proceeds from the sale of the securities we offer pursuant to this prospectus to fund the research and development of our product candidates, for working capital and for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a variety of capital preservation investments, including short-term, investment-grade, interest-bearing instruments.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will not receive any proceeds from the sale by selling security holders of the securities covered by this prospectus.</w:t>
      </w:r>
    </w:p>
    <w:p>
      <w:pPr>
        <w:spacing w:after="0" w:line="1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SECURITY HOLDERS</w:t>
      </w:r>
    </w:p>
    <w:p>
      <w:pPr>
        <w:spacing w:after="0" w:line="181" w:lineRule="exact"/>
        <w:rPr>
          <w:sz w:val="20"/>
          <w:szCs w:val="20"/>
          <w:color w:val="auto"/>
        </w:rPr>
      </w:pPr>
    </w:p>
    <w:p>
      <w:pPr>
        <w:ind w:left="1320" w:right="359"/>
        <w:spacing w:after="0" w:line="264" w:lineRule="auto"/>
        <w:rPr>
          <w:sz w:val="20"/>
          <w:szCs w:val="20"/>
          <w:color w:val="auto"/>
        </w:rPr>
      </w:pPr>
      <w:r>
        <w:rPr>
          <w:rFonts w:ascii="Times New Roman" w:cs="Times New Roman" w:eastAsia="Times New Roman" w:hAnsi="Times New Roman"/>
          <w:sz w:val="14"/>
          <w:szCs w:val="14"/>
          <w:color w:val="auto"/>
        </w:rPr>
        <w:t>Selling security holders are persons or entities that, directly or indirectly, have acquired or will from time to time acquire from us, our securities. Such selling security 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security holders,” may from time to time offer and sell our securities pursuant to this prospectus and any applicable prospectus supplement.</w:t>
      </w:r>
    </w:p>
    <w:p>
      <w:pPr>
        <w:spacing w:after="0" w:line="140"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The applicable prospectus supplement will set forth the name of each of the selling security holders and the number of securities beneficially owned by such selling security holders that are covered by such prospectus supplement. The applicable prospectus supplement will also disclose whether any of the selling security holders has held any position or office with, has been employed by or otherwise has had a material relationship with us during the three years prior to the date of the applicable prospectus supplement.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We and/or our selling security holders may offer securities under this prospectus from time to time pursuant to underwritten public offerings, negotiated transactions, block trades or a combination of these methods. We and/or our selling security holders may sell the securities (1) through underwriters or dealers, (2) through agents and/or (3) directly to one or more purchasers. We and/or our selling security holders may distribute the securities from time to time in one or more transactions, in accordance with applicable law and regulations and existing shareholders delegations of authority, at:</w:t>
      </w:r>
    </w:p>
    <w:p>
      <w:pPr>
        <w:spacing w:after="0" w:line="66" w:lineRule="exact"/>
        <w:rPr>
          <w:sz w:val="20"/>
          <w:szCs w:val="20"/>
          <w:color w:val="auto"/>
        </w:rPr>
      </w:pPr>
    </w:p>
    <w:p>
      <w:pPr>
        <w:ind w:left="2080" w:hanging="340"/>
        <w:spacing w:after="0"/>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 from time to time;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such prevailing market prices; or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distribution of securities may be carried out, from time to time, in one or more transactions, including:</w:t>
      </w:r>
    </w:p>
    <w:p>
      <w:pPr>
        <w:spacing w:after="0" w:line="104" w:lineRule="exact"/>
        <w:rPr>
          <w:sz w:val="20"/>
          <w:szCs w:val="20"/>
          <w:color w:val="auto"/>
        </w:rPr>
      </w:pPr>
    </w:p>
    <w:p>
      <w:pPr>
        <w:ind w:left="2080" w:hanging="340"/>
        <w:spacing w:after="0"/>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transactions and transactions on the Nasdaq Global Market or any other organized market where such securities may be traded;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own account pursuant to a prospectus supplement;</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broker-dealer solicits purchasers;</w:t>
      </w:r>
    </w:p>
    <w:p>
      <w:pPr>
        <w:spacing w:after="0" w:line="104" w:lineRule="exact"/>
        <w:rPr>
          <w:rFonts w:ascii="Times New Roman" w:cs="Times New Roman" w:eastAsia="Times New Roman" w:hAnsi="Times New Roman"/>
          <w:sz w:val="14"/>
          <w:szCs w:val="14"/>
          <w:color w:val="auto"/>
        </w:rPr>
      </w:pPr>
    </w:p>
    <w:p>
      <w:pPr>
        <w:ind w:left="2080" w:right="559" w:hanging="340"/>
        <w:spacing w:after="0" w:line="287" w:lineRule="auto"/>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through an “at the market offering” as defined in Rule 415(a)(4) under the Securities Act, into an existing trading market, on an exchange or otherwise; or</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in other ways not involving market makers or established trading markets, including direct sales to purchasers.</w:t>
      </w:r>
    </w:p>
    <w:p>
      <w:pPr>
        <w:spacing w:after="0" w:line="179" w:lineRule="exact"/>
        <w:rPr>
          <w:sz w:val="20"/>
          <w:szCs w:val="20"/>
          <w:color w:val="auto"/>
        </w:rPr>
      </w:pPr>
    </w:p>
    <w:p>
      <w:pPr>
        <w:ind w:left="1320" w:right="239"/>
        <w:spacing w:after="0" w:line="270" w:lineRule="auto"/>
        <w:rPr>
          <w:sz w:val="20"/>
          <w:szCs w:val="20"/>
          <w:color w:val="auto"/>
        </w:rPr>
      </w:pPr>
      <w:r>
        <w:rPr>
          <w:rFonts w:ascii="Times New Roman" w:cs="Times New Roman" w:eastAsia="Times New Roman" w:hAnsi="Times New Roman"/>
          <w:sz w:val="14"/>
          <w:szCs w:val="14"/>
          <w:color w:val="auto"/>
        </w:rPr>
        <w:t>Each time that we and/or our selling security 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36" w:lineRule="exact"/>
        <w:rPr>
          <w:sz w:val="20"/>
          <w:szCs w:val="20"/>
          <w:color w:val="auto"/>
        </w:rPr>
      </w:pPr>
    </w:p>
    <w:p>
      <w:pPr>
        <w:ind w:left="1320" w:right="399"/>
        <w:spacing w:after="0" w:line="270" w:lineRule="auto"/>
        <w:rPr>
          <w:sz w:val="20"/>
          <w:szCs w:val="20"/>
          <w:color w:val="auto"/>
        </w:rPr>
      </w:pPr>
      <w:r>
        <w:rPr>
          <w:rFonts w:ascii="Times New Roman" w:cs="Times New Roman" w:eastAsia="Times New Roman" w:hAnsi="Times New Roman"/>
          <w:sz w:val="14"/>
          <w:szCs w:val="14"/>
          <w:color w:val="auto"/>
        </w:rPr>
        <w:t>We and/or our selling security holders may directly solicit offers to purchase the securities being offered by this prospectus. We and/or our selling security holders may also designate agents to solicit offers to purchase the securities from time to time. We will name in a prospectus supplement any underwriter or agent involved in the offer or sale of the securities.</w:t>
      </w:r>
    </w:p>
    <w:p>
      <w:pPr>
        <w:spacing w:after="0" w:line="136" w:lineRule="exact"/>
        <w:rPr>
          <w:sz w:val="20"/>
          <w:szCs w:val="20"/>
          <w:color w:val="auto"/>
        </w:rPr>
      </w:pPr>
    </w:p>
    <w:p>
      <w:pPr>
        <w:ind w:left="1320" w:right="279"/>
        <w:spacing w:after="0" w:line="270" w:lineRule="auto"/>
        <w:rPr>
          <w:sz w:val="20"/>
          <w:szCs w:val="20"/>
          <w:color w:val="auto"/>
        </w:rPr>
      </w:pPr>
      <w:r>
        <w:rPr>
          <w:rFonts w:ascii="Times New Roman" w:cs="Times New Roman" w:eastAsia="Times New Roman" w:hAnsi="Times New Roman"/>
          <w:sz w:val="14"/>
          <w:szCs w:val="14"/>
          <w:color w:val="auto"/>
        </w:rPr>
        <w:t>If we and/or our selling security holders utilize a dealer in the sale of the securities being offered by this prospectus, we and/or our selling security holders will sell the securities to the dealer, as principal. The dealer may then resell the securities to the public at varying prices to be determined by the dealer at the time of resale.</w:t>
      </w:r>
    </w:p>
    <w:p>
      <w:pPr>
        <w:spacing w:after="0" w:line="136"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If we and/or our selling security holders utilize an underwriter in the sale of the securities being offered by this prospectus, we and/or our selling security holders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the securities for whom the underwriter may act as agent, may compensate the underwriter in the form of underwriting commissions. The underwriter may sell the securities to or through dealers, and the underwriter may compensate those dealers in the form of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79"/>
        <w:spacing w:after="0" w:line="259" w:lineRule="auto"/>
        <w:rPr>
          <w:sz w:val="20"/>
          <w:szCs w:val="20"/>
          <w:color w:val="auto"/>
        </w:rPr>
      </w:pPr>
      <w:r>
        <w:rPr>
          <w:rFonts w:ascii="Times New Roman" w:cs="Times New Roman" w:eastAsia="Times New Roman" w:hAnsi="Times New Roman"/>
          <w:sz w:val="14"/>
          <w:szCs w:val="14"/>
          <w:color w:val="auto"/>
        </w:rPr>
        <w:t>We will provide in the applicable prospectus supplement information regarding any compensation we pay to underwriters, dealers or agents in connection with the offering of the securities, and any concessions or commissions allowed by underwriters to participating dealers. Underwriters, dealers and agents participating in the distribution of the securities may be deemed to be underwriters within the meaning of the Securities Act of 1933, as amended, and any commissions received by them and any profit realized by them on resale of the securities may be deemed to be underwriting commissions. We may enter into agreements to indemnify underwriters, dealers and agents against civil liabilities, including liabilities under the Securities Act, or to contribute to payments they may be required to make in respect thereof.</w:t>
      </w:r>
    </w:p>
    <w:p>
      <w:pPr>
        <w:spacing w:after="0" w:line="146"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ADSs are traded, in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or other securities. The terms of each such distribution agreement will be described in a prospectus supplement.</w:t>
      </w:r>
    </w:p>
    <w:p>
      <w:pPr>
        <w:spacing w:after="0" w:line="149" w:lineRule="exact"/>
        <w:rPr>
          <w:sz w:val="20"/>
          <w:szCs w:val="20"/>
          <w:color w:val="auto"/>
        </w:rPr>
      </w:pPr>
    </w:p>
    <w:p>
      <w:pPr>
        <w:ind w:left="1320" w:right="279"/>
        <w:spacing w:after="0" w:line="257" w:lineRule="auto"/>
        <w:rPr>
          <w:sz w:val="20"/>
          <w:szCs w:val="20"/>
          <w:color w:val="auto"/>
        </w:rPr>
      </w:pPr>
      <w:r>
        <w:rPr>
          <w:rFonts w:ascii="Times New Roman" w:cs="Times New Roman" w:eastAsia="Times New Roman" w:hAnsi="Times New Roman"/>
          <w:sz w:val="14"/>
          <w:szCs w:val="14"/>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49" w:lineRule="exact"/>
        <w:rPr>
          <w:sz w:val="20"/>
          <w:szCs w:val="20"/>
          <w:color w:val="auto"/>
        </w:rPr>
      </w:pPr>
    </w:p>
    <w:p>
      <w:pPr>
        <w:jc w:val="center"/>
        <w:ind w:left="1580" w:right="40"/>
        <w:spacing w:after="0" w:line="461" w:lineRule="auto"/>
        <w:rPr>
          <w:sz w:val="20"/>
          <w:szCs w:val="20"/>
          <w:color w:val="auto"/>
        </w:rPr>
      </w:pPr>
      <w:r>
        <w:rPr>
          <w:rFonts w:ascii="Times New Roman" w:cs="Times New Roman" w:eastAsia="Times New Roman" w:hAnsi="Times New Roman"/>
          <w:sz w:val="14"/>
          <w:szCs w:val="14"/>
          <w:color w:val="auto"/>
        </w:rPr>
        <w:t>The underwriters, dealers and agents may engage in other transactions with us, or perform other services for us, in the ordinary course of their business. 12</w:t>
      </w:r>
    </w:p>
    <w:p>
      <w:pPr>
        <w:sectPr>
          <w:pgSz w:w="11900" w:h="16838" w:orient="portrait"/>
          <w:cols w:equalWidth="0" w:num="1">
            <w:col w:w="10159"/>
          </w:cols>
          <w:pgMar w:left="300" w:top="38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 xml:space="preserve">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 +33 (0) 1 53 83 09 63.</w:t>
      </w:r>
    </w:p>
    <w:p>
      <w:pPr>
        <w:spacing w:after="0" w:line="144" w:lineRule="exact"/>
        <w:rPr>
          <w:sz w:val="20"/>
          <w:szCs w:val="20"/>
          <w:color w:val="auto"/>
        </w:rPr>
      </w:pPr>
    </w:p>
    <w:p>
      <w:pPr>
        <w:ind w:left="1320" w:right="259"/>
        <w:spacing w:after="0" w:line="270" w:lineRule="auto"/>
        <w:rPr>
          <w:sz w:val="20"/>
          <w:szCs w:val="20"/>
          <w:color w:val="auto"/>
        </w:rPr>
      </w:pPr>
      <w:r>
        <w:rPr>
          <w:rFonts w:ascii="Times New Roman" w:cs="Times New Roman" w:eastAsia="Times New Roman" w:hAnsi="Times New Roman"/>
          <w:sz w:val="14"/>
          <w:szCs w:val="14"/>
          <w:color w:val="auto"/>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Times New Roman" w:cs="Times New Roman" w:eastAsia="Times New Roman" w:hAnsi="Times New Roman"/>
          <w:sz w:val="14"/>
          <w:szCs w:val="14"/>
          <w:i w:val="1"/>
          <w:iCs w:val="1"/>
          <w:color w:val="auto"/>
        </w:rPr>
        <w:t>Greffe du Registre du Commerce et des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Sociétés</w:t>
      </w:r>
      <w:r>
        <w:rPr>
          <w:rFonts w:ascii="Times New Roman" w:cs="Times New Roman" w:eastAsia="Times New Roman" w:hAnsi="Times New Roman"/>
          <w:sz w:val="14"/>
          <w:szCs w:val="14"/>
          <w:color w:val="auto"/>
        </w:rPr>
        <w:t>) of Paris, France or our corporate headquarters and are filed as an exhibit to this registration statement of which this prospectus forms a part.</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Share Capital History</w:t>
      </w:r>
    </w:p>
    <w:p>
      <w:pPr>
        <w:spacing w:after="0" w:line="96" w:lineRule="exact"/>
        <w:rPr>
          <w:sz w:val="20"/>
          <w:szCs w:val="20"/>
          <w:color w:val="auto"/>
        </w:rPr>
      </w:pPr>
    </w:p>
    <w:p>
      <w:pPr>
        <w:ind w:left="1320" w:right="419"/>
        <w:spacing w:after="0" w:line="287" w:lineRule="auto"/>
        <w:rPr>
          <w:sz w:val="20"/>
          <w:szCs w:val="20"/>
          <w:color w:val="auto"/>
        </w:rPr>
      </w:pPr>
      <w:r>
        <w:rPr>
          <w:rFonts w:ascii="Times New Roman" w:cs="Times New Roman" w:eastAsia="Times New Roman" w:hAnsi="Times New Roman"/>
          <w:sz w:val="14"/>
          <w:szCs w:val="14"/>
          <w:color w:val="auto"/>
        </w:rPr>
        <w:t>As of March 31, 2025, our share capital amounted to €634,187.49 and is divided into 63,418,749 ordinary shares of €0.01 par value each after taking into account:</w:t>
      </w:r>
    </w:p>
    <w:p>
      <w:pPr>
        <w:spacing w:after="0" w:line="131"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Amount of</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Paid</w:t>
            </w:r>
          </w:p>
        </w:tc>
        <w:tc>
          <w:tcPr>
            <w:tcW w:w="0" w:type="dxa"/>
            <w:vAlign w:val="bottom"/>
          </w:tcPr>
          <w:p>
            <w:pPr>
              <w:spacing w:after="0"/>
              <w:rPr>
                <w:sz w:val="1"/>
                <w:szCs w:val="1"/>
                <w:color w:val="auto"/>
              </w:rPr>
            </w:pPr>
          </w:p>
        </w:tc>
      </w:tr>
      <w:tr>
        <w:trPr>
          <w:trHeight w:val="136"/>
        </w:trPr>
        <w:tc>
          <w:tcPr>
            <w:tcW w:w="4700" w:type="dxa"/>
            <w:vAlign w:val="bottom"/>
          </w:tcPr>
          <w:p>
            <w:pPr>
              <w:spacing w:after="0"/>
              <w:rPr>
                <w:sz w:val="11"/>
                <w:szCs w:val="11"/>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Up Capital</w:t>
            </w:r>
          </w:p>
        </w:tc>
        <w:tc>
          <w:tcPr>
            <w:tcW w:w="0" w:type="dxa"/>
            <w:vAlign w:val="bottom"/>
          </w:tcPr>
          <w:p>
            <w:pPr>
              <w:spacing w:after="0"/>
              <w:rPr>
                <w:sz w:val="1"/>
                <w:szCs w:val="1"/>
                <w:color w:val="auto"/>
              </w:rPr>
            </w:pPr>
          </w:p>
        </w:tc>
      </w:tr>
      <w:tr>
        <w:trPr>
          <w:trHeight w:val="107"/>
        </w:trPr>
        <w:tc>
          <w:tcPr>
            <w:tcW w:w="47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59"/>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63,418,749</w:t>
            </w: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634,187.49</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63,418,749</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89"/>
              </w:rPr>
              <w:t>0.01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634,187.49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All of the shares are fully subscribed and paid. As of the date of this prospectus, we have not issued securities that do not represent our share capital.</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table below shows the changes in our share capital over the last three years.</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Issue</w:t>
            </w: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Nominal</w:t>
            </w:r>
          </w:p>
        </w:tc>
        <w:tc>
          <w:tcPr>
            <w:tcW w:w="860" w:type="dxa"/>
            <w:vAlign w:val="bottom"/>
            <w:gridSpan w:val="2"/>
            <w:vMerge w:val="continue"/>
          </w:tcPr>
          <w:p>
            <w:pPr>
              <w:spacing w:after="0"/>
              <w:rPr>
                <w:sz w:val="10"/>
                <w:szCs w:val="10"/>
                <w:color w:val="auto"/>
              </w:rPr>
            </w:pPr>
          </w:p>
        </w:tc>
        <w:tc>
          <w:tcPr>
            <w:tcW w:w="4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Prior Share</w:t>
            </w: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Premium</w:t>
            </w:r>
          </w:p>
        </w:tc>
        <w:tc>
          <w:tcPr>
            <w:tcW w:w="6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vMerge w:val="continue"/>
          </w:tcPr>
          <w:p>
            <w:pPr>
              <w:spacing w:after="0"/>
              <w:rPr>
                <w:sz w:val="10"/>
                <w:szCs w:val="10"/>
                <w:color w:val="auto"/>
              </w:rPr>
            </w:pPr>
          </w:p>
        </w:tc>
        <w:tc>
          <w:tcPr>
            <w:tcW w:w="86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capital after</w:t>
            </w:r>
          </w:p>
        </w:tc>
        <w:tc>
          <w:tcPr>
            <w:tcW w:w="4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per</w:t>
            </w:r>
          </w:p>
        </w:tc>
        <w:tc>
          <w:tcPr>
            <w:tcW w:w="0" w:type="dxa"/>
            <w:vAlign w:val="bottom"/>
          </w:tcPr>
          <w:p>
            <w:pPr>
              <w:spacing w:after="0"/>
              <w:rPr>
                <w:sz w:val="1"/>
                <w:szCs w:val="1"/>
                <w:color w:val="auto"/>
              </w:rPr>
            </w:pPr>
          </w:p>
        </w:tc>
      </w:tr>
      <w:tr>
        <w:trPr>
          <w:trHeight w:val="117"/>
        </w:trPr>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80" w:type="dxa"/>
            <w:vAlign w:val="bottom"/>
          </w:tcPr>
          <w:p>
            <w:pPr>
              <w:spacing w:after="0"/>
              <w:rPr>
                <w:sz w:val="10"/>
                <w:szCs w:val="10"/>
                <w:color w:val="auto"/>
              </w:rPr>
            </w:pPr>
          </w:p>
        </w:tc>
        <w:tc>
          <w:tcPr>
            <w:tcW w:w="2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Type of operation</w:t>
            </w:r>
          </w:p>
        </w:tc>
        <w:tc>
          <w:tcPr>
            <w:tcW w:w="9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w w:val="97"/>
              </w:rPr>
              <w:t>after</w:t>
            </w:r>
          </w:p>
        </w:tc>
        <w:tc>
          <w:tcPr>
            <w:tcW w:w="66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value</w:t>
            </w:r>
          </w:p>
        </w:tc>
        <w:tc>
          <w:tcPr>
            <w:tcW w:w="86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36"/>
        </w:trPr>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gridSpan w:val="2"/>
            <w:vMerge w:val="continue"/>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Capital (€)</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created</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issuance</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18"/>
        </w:trPr>
        <w:tc>
          <w:tcPr>
            <w:tcW w:w="640" w:type="dxa"/>
            <w:vAlign w:val="bottom"/>
            <w:tcBorders>
              <w:top w:val="single" w:sz="8" w:color="auto"/>
            </w:tcBorders>
            <w:shd w:val="clear" w:color="auto" w:fill="CCEEFF"/>
          </w:tcPr>
          <w:p>
            <w:pPr>
              <w:jc w:val="right"/>
              <w:ind w:right="40"/>
              <w:spacing w:after="0" w:line="118" w:lineRule="exact"/>
              <w:rPr>
                <w:sz w:val="20"/>
                <w:szCs w:val="20"/>
                <w:color w:val="auto"/>
              </w:rPr>
            </w:pPr>
            <w:r>
              <w:rPr>
                <w:rFonts w:ascii="Times New Roman" w:cs="Times New Roman" w:eastAsia="Times New Roman" w:hAnsi="Times New Roman"/>
                <w:sz w:val="12"/>
                <w:szCs w:val="12"/>
                <w:color w:val="auto"/>
                <w:w w:val="95"/>
              </w:rPr>
              <w:t>18/10/2021</w:t>
            </w:r>
          </w:p>
        </w:tc>
        <w:tc>
          <w:tcPr>
            <w:tcW w:w="80" w:type="dxa"/>
            <w:vAlign w:val="bottom"/>
            <w:tcBorders>
              <w:top w:val="single" w:sz="8" w:color="CCEEFF"/>
            </w:tcBorders>
            <w:shd w:val="clear" w:color="auto" w:fill="CCEEFF"/>
          </w:tcPr>
          <w:p>
            <w:pPr>
              <w:spacing w:after="0"/>
              <w:rPr>
                <w:sz w:val="10"/>
                <w:szCs w:val="10"/>
                <w:color w:val="auto"/>
              </w:rPr>
            </w:pPr>
          </w:p>
        </w:tc>
        <w:tc>
          <w:tcPr>
            <w:tcW w:w="268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Exercise of BCE-2018-1</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167,097.25</w:t>
            </w:r>
          </w:p>
        </w:tc>
        <w:tc>
          <w:tcPr>
            <w:tcW w:w="2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8,950</w:t>
            </w:r>
          </w:p>
        </w:tc>
        <w:tc>
          <w:tcPr>
            <w:tcW w:w="1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w w:val="96"/>
              </w:rPr>
              <w:t>16,710,725</w:t>
            </w: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167,107.25</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8.96</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40" w:type="dxa"/>
            <w:vAlign w:val="bottom"/>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5"/>
              </w:rPr>
              <w:t>20/10/2021</w:t>
            </w:r>
          </w:p>
        </w:tc>
        <w:tc>
          <w:tcPr>
            <w:tcW w:w="2840" w:type="dxa"/>
            <w:vAlign w:val="bottom"/>
            <w:gridSpan w:val="3"/>
          </w:tcPr>
          <w:p>
            <w:pPr>
              <w:ind w:left="80"/>
              <w:spacing w:after="0" w:line="128" w:lineRule="exact"/>
              <w:rPr>
                <w:sz w:val="20"/>
                <w:szCs w:val="20"/>
                <w:color w:val="auto"/>
              </w:rPr>
            </w:pPr>
            <w:r>
              <w:rPr>
                <w:rFonts w:ascii="Times New Roman" w:cs="Times New Roman" w:eastAsia="Times New Roman" w:hAnsi="Times New Roman"/>
                <w:sz w:val="12"/>
                <w:szCs w:val="12"/>
                <w:color w:val="auto"/>
              </w:rPr>
              <w:t>Exercise of BCE-2016-1</w:t>
            </w: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167,107.25</w:t>
            </w:r>
          </w:p>
        </w:tc>
        <w:tc>
          <w:tcPr>
            <w:tcW w:w="2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22,245.42</w:t>
            </w:r>
          </w:p>
        </w:tc>
        <w:tc>
          <w:tcPr>
            <w:tcW w:w="16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2,994</w:t>
            </w:r>
          </w:p>
        </w:tc>
        <w:tc>
          <w:tcPr>
            <w:tcW w:w="160" w:type="dxa"/>
            <w:vAlign w:val="bottom"/>
          </w:tcPr>
          <w:p>
            <w:pPr>
              <w:spacing w:after="0"/>
              <w:rPr>
                <w:sz w:val="11"/>
                <w:szCs w:val="11"/>
                <w:color w:val="auto"/>
              </w:rPr>
            </w:pP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2"/>
                <w:szCs w:val="12"/>
                <w:color w:val="auto"/>
                <w:w w:val="96"/>
              </w:rPr>
              <w:t>16,713,719</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167,137.19</w:t>
            </w:r>
          </w:p>
        </w:tc>
        <w:tc>
          <w:tcPr>
            <w:tcW w:w="16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5"/>
              </w:rPr>
              <w:t>20/10/2021</w:t>
            </w:r>
          </w:p>
        </w:tc>
        <w:tc>
          <w:tcPr>
            <w:tcW w:w="2840" w:type="dxa"/>
            <w:vAlign w:val="bottom"/>
            <w:gridSpan w:val="3"/>
            <w:shd w:val="clear" w:color="auto" w:fill="CCEEFF"/>
          </w:tcPr>
          <w:p>
            <w:pPr>
              <w:ind w:left="80"/>
              <w:spacing w:after="0" w:line="128" w:lineRule="exact"/>
              <w:rPr>
                <w:sz w:val="20"/>
                <w:szCs w:val="20"/>
                <w:color w:val="auto"/>
              </w:rPr>
            </w:pPr>
            <w:r>
              <w:rPr>
                <w:rFonts w:ascii="Times New Roman" w:cs="Times New Roman" w:eastAsia="Times New Roman" w:hAnsi="Times New Roman"/>
                <w:sz w:val="12"/>
                <w:szCs w:val="12"/>
                <w:color w:val="auto"/>
              </w:rPr>
              <w:t>Exercise of BCE-2018-5</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167,137.19</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25,005.12</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3,416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2"/>
                <w:szCs w:val="12"/>
                <w:color w:val="auto"/>
                <w:w w:val="96"/>
              </w:rPr>
              <w:t>16,717,135</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167,171.35</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5"/>
              </w:rPr>
              <w:t>25/10/2021</w:t>
            </w:r>
          </w:p>
        </w:tc>
        <w:tc>
          <w:tcPr>
            <w:tcW w:w="2840" w:type="dxa"/>
            <w:vAlign w:val="bottom"/>
            <w:gridSpan w:val="3"/>
          </w:tcPr>
          <w:p>
            <w:pPr>
              <w:ind w:left="80"/>
              <w:spacing w:after="0" w:line="128" w:lineRule="exact"/>
              <w:rPr>
                <w:sz w:val="20"/>
                <w:szCs w:val="20"/>
                <w:color w:val="auto"/>
              </w:rPr>
            </w:pPr>
            <w:r>
              <w:rPr>
                <w:rFonts w:ascii="Times New Roman" w:cs="Times New Roman" w:eastAsia="Times New Roman" w:hAnsi="Times New Roman"/>
                <w:sz w:val="12"/>
                <w:szCs w:val="12"/>
                <w:color w:val="auto"/>
              </w:rPr>
              <w:t>Exercise of BCE-2018-1</w:t>
            </w: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167,171.35</w:t>
            </w:r>
          </w:p>
        </w:tc>
        <w:tc>
          <w:tcPr>
            <w:tcW w:w="2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8,950</w:t>
            </w:r>
          </w:p>
        </w:tc>
        <w:tc>
          <w:tcPr>
            <w:tcW w:w="16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tcPr>
          <w:p>
            <w:pPr>
              <w:spacing w:after="0"/>
              <w:rPr>
                <w:sz w:val="11"/>
                <w:szCs w:val="11"/>
                <w:color w:val="auto"/>
              </w:rPr>
            </w:pP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2"/>
                <w:szCs w:val="12"/>
                <w:color w:val="auto"/>
                <w:w w:val="96"/>
              </w:rPr>
              <w:t>16,718,135</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167,181.35</w:t>
            </w:r>
          </w:p>
        </w:tc>
        <w:tc>
          <w:tcPr>
            <w:tcW w:w="16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5"/>
              </w:rPr>
              <w:t>25/10/2021</w:t>
            </w:r>
          </w:p>
        </w:tc>
        <w:tc>
          <w:tcPr>
            <w:tcW w:w="2840" w:type="dxa"/>
            <w:vAlign w:val="bottom"/>
            <w:gridSpan w:val="3"/>
            <w:shd w:val="clear" w:color="auto" w:fill="CCEEFF"/>
          </w:tcPr>
          <w:p>
            <w:pPr>
              <w:ind w:left="80"/>
              <w:spacing w:after="0" w:line="128" w:lineRule="exact"/>
              <w:rPr>
                <w:sz w:val="20"/>
                <w:szCs w:val="20"/>
                <w:color w:val="auto"/>
              </w:rPr>
            </w:pPr>
            <w:r>
              <w:rPr>
                <w:rFonts w:ascii="Times New Roman" w:cs="Times New Roman" w:eastAsia="Times New Roman" w:hAnsi="Times New Roman"/>
                <w:sz w:val="12"/>
                <w:szCs w:val="12"/>
                <w:color w:val="auto"/>
              </w:rPr>
              <w:t>Exercise of BCE-2017-5</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167,181.35</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11,130</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2"/>
                <w:szCs w:val="12"/>
                <w:color w:val="auto"/>
                <w:w w:val="96"/>
              </w:rPr>
              <w:t>16,719,135</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167,191.35</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5"/>
              </w:rPr>
              <w:t>30/11/2021</w:t>
            </w:r>
          </w:p>
        </w:tc>
        <w:tc>
          <w:tcPr>
            <w:tcW w:w="2840" w:type="dxa"/>
            <w:vAlign w:val="bottom"/>
            <w:gridSpan w:val="3"/>
          </w:tcPr>
          <w:p>
            <w:pPr>
              <w:ind w:left="80"/>
              <w:spacing w:after="0" w:line="128" w:lineRule="exact"/>
              <w:rPr>
                <w:sz w:val="20"/>
                <w:szCs w:val="20"/>
                <w:color w:val="auto"/>
              </w:rPr>
            </w:pPr>
            <w:r>
              <w:rPr>
                <w:rFonts w:ascii="Times New Roman" w:cs="Times New Roman" w:eastAsia="Times New Roman" w:hAnsi="Times New Roman"/>
                <w:sz w:val="12"/>
                <w:szCs w:val="12"/>
                <w:color w:val="auto"/>
              </w:rPr>
              <w:t>Exercise of BCE-2018-2</w:t>
            </w: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167,191.35</w:t>
            </w:r>
          </w:p>
        </w:tc>
        <w:tc>
          <w:tcPr>
            <w:tcW w:w="2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187,950</w:t>
            </w:r>
          </w:p>
        </w:tc>
        <w:tc>
          <w:tcPr>
            <w:tcW w:w="16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21,000</w:t>
            </w:r>
          </w:p>
        </w:tc>
        <w:tc>
          <w:tcPr>
            <w:tcW w:w="160" w:type="dxa"/>
            <w:vAlign w:val="bottom"/>
          </w:tcPr>
          <w:p>
            <w:pPr>
              <w:spacing w:after="0"/>
              <w:rPr>
                <w:sz w:val="11"/>
                <w:szCs w:val="11"/>
                <w:color w:val="auto"/>
              </w:rPr>
            </w:pP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2"/>
                <w:szCs w:val="12"/>
                <w:color w:val="auto"/>
                <w:w w:val="96"/>
              </w:rPr>
              <w:t>16,740,135</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167,401.35</w:t>
            </w:r>
          </w:p>
        </w:tc>
        <w:tc>
          <w:tcPr>
            <w:tcW w:w="16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5"/>
              </w:rPr>
              <w:t>21/12/2021</w:t>
            </w:r>
          </w:p>
        </w:tc>
        <w:tc>
          <w:tcPr>
            <w:tcW w:w="2840" w:type="dxa"/>
            <w:vAlign w:val="bottom"/>
            <w:gridSpan w:val="3"/>
            <w:shd w:val="clear" w:color="auto" w:fill="CCEEFF"/>
          </w:tcPr>
          <w:p>
            <w:pPr>
              <w:ind w:left="80"/>
              <w:spacing w:after="0" w:line="128" w:lineRule="exact"/>
              <w:rPr>
                <w:sz w:val="20"/>
                <w:szCs w:val="20"/>
                <w:color w:val="auto"/>
              </w:rPr>
            </w:pPr>
            <w:r>
              <w:rPr>
                <w:rFonts w:ascii="Times New Roman" w:cs="Times New Roman" w:eastAsia="Times New Roman" w:hAnsi="Times New Roman"/>
                <w:sz w:val="12"/>
                <w:szCs w:val="12"/>
                <w:color w:val="auto"/>
              </w:rPr>
              <w:t>Exercise of BCE-2018-2</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167,401.35</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214,048.20</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23,916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2"/>
                <w:szCs w:val="12"/>
                <w:color w:val="auto"/>
                <w:w w:val="96"/>
              </w:rPr>
              <w:t>16,764,051</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167,640.51</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8.96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Issue</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Nominal</w:t>
            </w:r>
          </w:p>
        </w:tc>
        <w:tc>
          <w:tcPr>
            <w:tcW w:w="900" w:type="dxa"/>
            <w:vAlign w:val="bottom"/>
            <w:gridSpan w:val="2"/>
            <w:vMerge w:val="continue"/>
          </w:tcPr>
          <w:p>
            <w:pPr>
              <w:spacing w:after="0"/>
              <w:rPr>
                <w:sz w:val="10"/>
                <w:szCs w:val="10"/>
                <w:color w:val="auto"/>
              </w:rPr>
            </w:pPr>
          </w:p>
        </w:tc>
        <w:tc>
          <w:tcPr>
            <w:tcW w:w="4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Prior Share</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Premium</w:t>
            </w:r>
          </w:p>
        </w:tc>
        <w:tc>
          <w:tcPr>
            <w:tcW w:w="840" w:type="dxa"/>
            <w:vAlign w:val="bottom"/>
            <w:gridSpan w:val="2"/>
            <w:vMerge w:val="continue"/>
          </w:tcPr>
          <w:p>
            <w:pPr>
              <w:spacing w:after="0"/>
              <w:rPr>
                <w:sz w:val="10"/>
                <w:szCs w:val="10"/>
                <w:color w:val="auto"/>
              </w:rPr>
            </w:pPr>
          </w:p>
        </w:tc>
        <w:tc>
          <w:tcPr>
            <w:tcW w:w="9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vMerge w:val="continue"/>
          </w:tcPr>
          <w:p>
            <w:pPr>
              <w:spacing w:after="0"/>
              <w:rPr>
                <w:sz w:val="10"/>
                <w:szCs w:val="10"/>
                <w:color w:val="auto"/>
              </w:rPr>
            </w:pPr>
          </w:p>
        </w:tc>
        <w:tc>
          <w:tcPr>
            <w:tcW w:w="9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capital after</w:t>
            </w:r>
          </w:p>
        </w:tc>
        <w:tc>
          <w:tcPr>
            <w:tcW w:w="4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per</w:t>
            </w:r>
          </w:p>
        </w:tc>
        <w:tc>
          <w:tcPr>
            <w:tcW w:w="0" w:type="dxa"/>
            <w:vAlign w:val="bottom"/>
          </w:tcPr>
          <w:p>
            <w:pPr>
              <w:spacing w:after="0"/>
              <w:rPr>
                <w:sz w:val="1"/>
                <w:szCs w:val="1"/>
                <w:color w:val="auto"/>
              </w:rPr>
            </w:pPr>
          </w:p>
        </w:tc>
      </w:tr>
      <w:tr>
        <w:trPr>
          <w:trHeight w:val="117"/>
        </w:trPr>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80" w:type="dxa"/>
            <w:vAlign w:val="bottom"/>
          </w:tcPr>
          <w:p>
            <w:pPr>
              <w:spacing w:after="0"/>
              <w:rPr>
                <w:sz w:val="10"/>
                <w:szCs w:val="10"/>
                <w:color w:val="auto"/>
              </w:rPr>
            </w:pPr>
          </w:p>
        </w:tc>
        <w:tc>
          <w:tcPr>
            <w:tcW w:w="22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Type of operation</w:t>
            </w:r>
          </w:p>
        </w:tc>
        <w:tc>
          <w:tcPr>
            <w:tcW w:w="9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after</w:t>
            </w:r>
          </w:p>
        </w:tc>
        <w:tc>
          <w:tcPr>
            <w:tcW w:w="66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w w:val="95"/>
              </w:rPr>
              <w:t>value</w:t>
            </w:r>
          </w:p>
        </w:tc>
        <w:tc>
          <w:tcPr>
            <w:tcW w:w="9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36"/>
        </w:trPr>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 (€)</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created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issuance</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8"/>
        </w:trPr>
        <w:tc>
          <w:tcPr>
            <w:tcW w:w="70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08/03/2022</w:t>
            </w:r>
          </w:p>
        </w:tc>
        <w:tc>
          <w:tcPr>
            <w:tcW w:w="80" w:type="dxa"/>
            <w:vAlign w:val="bottom"/>
            <w:tcBorders>
              <w:top w:val="single" w:sz="8" w:color="CCEEFF"/>
            </w:tcBorders>
            <w:shd w:val="clear" w:color="auto" w:fill="CCEEFF"/>
          </w:tcPr>
          <w:p>
            <w:pPr>
              <w:spacing w:after="0"/>
              <w:rPr>
                <w:sz w:val="10"/>
                <w:szCs w:val="10"/>
                <w:color w:val="auto"/>
              </w:rPr>
            </w:pPr>
          </w:p>
        </w:tc>
        <w:tc>
          <w:tcPr>
            <w:tcW w:w="214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Exercise of BCE-2018-5</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167,640.51</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2,444.88</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334</w:t>
            </w: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16,764,385</w:t>
            </w: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167.643,85</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7.33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30/05/2022</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BSA-2014-3</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167.643,85</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18,800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16,783,185</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167,831.85</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07/09/2022</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Capital increase through issue of new shares</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167,831.85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46,175,500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5,530,000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22,313,185</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223,131.85</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8.36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20/01/2023</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BCE-2014-4</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223,131.85</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18,400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22,331,585</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223,315.85</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01/03/2023</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Capital increase through issue of new shares</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223,315.85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129,800,000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20,000,000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42,331,585</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423,315.85</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6.50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10/05/2023</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BSA-2014-3</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423,315.85</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16,400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42,347,985</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423,479.85</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06/06/2023</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BSA-2018-KREOS-A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423,479.85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488,786.40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67,887</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42,415,872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424,158.72</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7.21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06/06/2023</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BSA-2018-KREOS-b</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424,158.72</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338,830.24</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31,696</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42,447,568</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424,475.68</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10.70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19/06/2023</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BCE-2014-2</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424,475.68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100,000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42,547,568</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425,475.68</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12/09/2023</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BSA-2014-3</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425,475.68</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16,400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42,563,968</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425,639.68</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14/09/2023</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BSA-2014-3</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425,639.68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16,400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42,580,368</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425,803.68</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24/10/2023</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Capital increase through issue of new shares</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425,803.68</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223,173,990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20,325,500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62,905,868</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629,058.68</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20/11/2023</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BSA-2014-5</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629,058.68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22,950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62,928,818</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629,288.18</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22/04/2024</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BCE-2017-5</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629,288.18</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11,130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62,929,818</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629,298.18</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23/04/2024</w:t>
            </w:r>
          </w:p>
        </w:tc>
        <w:tc>
          <w:tcPr>
            <w:tcW w:w="2300" w:type="dxa"/>
            <w:vAlign w:val="bottom"/>
            <w:gridSpan w:val="3"/>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BCE-2017-5</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629,298.18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11,130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1,000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62,930,818</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629,308.18</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11/06/2024</w:t>
            </w:r>
          </w:p>
        </w:tc>
        <w:tc>
          <w:tcPr>
            <w:tcW w:w="230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auto"/>
              </w:rPr>
              <w:t>Exercise of BCE-2017-5</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629,308.18</w:t>
            </w:r>
          </w:p>
        </w:tc>
        <w:tc>
          <w:tcPr>
            <w:tcW w:w="24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11,130</w:t>
            </w: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1,000</w:t>
            </w:r>
          </w:p>
        </w:tc>
        <w:tc>
          <w:tcPr>
            <w:tcW w:w="1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62,931,818</w:t>
            </w: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629,318.18</w:t>
            </w:r>
          </w:p>
        </w:tc>
        <w:tc>
          <w:tcPr>
            <w:tcW w:w="16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13/06/2024</w:t>
            </w:r>
          </w:p>
        </w:tc>
        <w:tc>
          <w:tcPr>
            <w:tcW w:w="2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Exercise of BCE-2017-5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629,318.18</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62,932,818</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629,328.18</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11/07/2024</w:t>
            </w:r>
          </w:p>
        </w:tc>
        <w:tc>
          <w:tcPr>
            <w:tcW w:w="23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Definitive allocation of free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629,328.18</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344,107</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63,276,925</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632,769.25</w:t>
            </w: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05/09/2024</w:t>
            </w:r>
          </w:p>
        </w:tc>
        <w:tc>
          <w:tcPr>
            <w:tcW w:w="2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Definitive allocation of free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632,769.25</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17,728</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63,294,653</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632,946.53</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13/11/2024</w:t>
            </w:r>
          </w:p>
        </w:tc>
        <w:tc>
          <w:tcPr>
            <w:tcW w:w="23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Definitive allocation of free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632,946.53</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53,184</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63,347,837</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633,478.37</w:t>
            </w: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13/01/2025</w:t>
            </w:r>
          </w:p>
        </w:tc>
        <w:tc>
          <w:tcPr>
            <w:tcW w:w="2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Definitive allocation of free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633,478.37</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17,728</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63,365,565</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633,655.65</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Issue</w:t>
            </w:r>
          </w:p>
        </w:tc>
        <w:tc>
          <w:tcPr>
            <w:tcW w:w="0" w:type="dxa"/>
            <w:vAlign w:val="bottom"/>
          </w:tcPr>
          <w:p>
            <w:pPr>
              <w:spacing w:after="0"/>
              <w:rPr>
                <w:sz w:val="1"/>
                <w:szCs w:val="1"/>
                <w:color w:val="auto"/>
              </w:rPr>
            </w:pPr>
          </w:p>
        </w:tc>
      </w:tr>
      <w:tr>
        <w:trPr>
          <w:trHeight w:val="117"/>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4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Nominal</w:t>
            </w:r>
          </w:p>
        </w:tc>
        <w:tc>
          <w:tcPr>
            <w:tcW w:w="840" w:type="dxa"/>
            <w:vAlign w:val="bottom"/>
            <w:gridSpan w:val="2"/>
            <w:vMerge w:val="continue"/>
          </w:tcPr>
          <w:p>
            <w:pPr>
              <w:spacing w:after="0"/>
              <w:rPr>
                <w:sz w:val="10"/>
                <w:szCs w:val="10"/>
                <w:color w:val="auto"/>
              </w:rPr>
            </w:pPr>
          </w:p>
        </w:tc>
        <w:tc>
          <w:tcPr>
            <w:tcW w:w="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17"/>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Prior Share</w:t>
            </w: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Premium</w:t>
            </w:r>
          </w:p>
        </w:tc>
        <w:tc>
          <w:tcPr>
            <w:tcW w:w="6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2"/>
            <w:vMerge w:val="continue"/>
          </w:tcPr>
          <w:p>
            <w:pPr>
              <w:spacing w:after="0"/>
              <w:rPr>
                <w:sz w:val="10"/>
                <w:szCs w:val="10"/>
                <w:color w:val="auto"/>
              </w:rPr>
            </w:pP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capital after</w:t>
            </w:r>
          </w:p>
        </w:tc>
        <w:tc>
          <w:tcPr>
            <w:tcW w:w="38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per</w:t>
            </w:r>
          </w:p>
        </w:tc>
        <w:tc>
          <w:tcPr>
            <w:tcW w:w="0" w:type="dxa"/>
            <w:vAlign w:val="bottom"/>
          </w:tcPr>
          <w:p>
            <w:pPr>
              <w:spacing w:after="0"/>
              <w:rPr>
                <w:sz w:val="1"/>
                <w:szCs w:val="1"/>
                <w:color w:val="auto"/>
              </w:rPr>
            </w:pPr>
          </w:p>
        </w:tc>
      </w:tr>
      <w:tr>
        <w:trPr>
          <w:trHeight w:val="117"/>
        </w:trPr>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Date</w:t>
            </w:r>
          </w:p>
        </w:tc>
        <w:tc>
          <w:tcPr>
            <w:tcW w:w="31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1"/>
                <w:szCs w:val="11"/>
                <w:b w:val="1"/>
                <w:bCs w:val="1"/>
                <w:color w:val="auto"/>
              </w:rPr>
              <w:t>Type of operation</w:t>
            </w:r>
          </w:p>
        </w:tc>
        <w:tc>
          <w:tcPr>
            <w:tcW w:w="9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w w:val="97"/>
              </w:rPr>
              <w:t>after</w:t>
            </w:r>
          </w:p>
        </w:tc>
        <w:tc>
          <w:tcPr>
            <w:tcW w:w="6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value</w:t>
            </w:r>
          </w:p>
        </w:tc>
        <w:tc>
          <w:tcPr>
            <w:tcW w:w="8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36"/>
        </w:trPr>
        <w:tc>
          <w:tcPr>
            <w:tcW w:w="720" w:type="dxa"/>
            <w:vAlign w:val="bottom"/>
            <w:gridSpan w:val="2"/>
            <w:vMerge w:val="continue"/>
          </w:tcPr>
          <w:p>
            <w:pPr>
              <w:spacing w:after="0"/>
              <w:rPr>
                <w:sz w:val="11"/>
                <w:szCs w:val="11"/>
                <w:color w:val="auto"/>
              </w:rPr>
            </w:pPr>
          </w:p>
        </w:tc>
        <w:tc>
          <w:tcPr>
            <w:tcW w:w="3100" w:type="dxa"/>
            <w:vAlign w:val="bottom"/>
            <w:gridSpan w:val="2"/>
            <w:vMerge w:val="continue"/>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Capital (€)</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created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issuance</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50"/>
        </w:trPr>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06/02/2025</w:t>
            </w:r>
          </w:p>
        </w:tc>
        <w:tc>
          <w:tcPr>
            <w:tcW w:w="100" w:type="dxa"/>
            <w:vAlign w:val="bottom"/>
            <w:tcBorders>
              <w:top w:val="single" w:sz="8" w:color="CCEEFF"/>
            </w:tcBorders>
            <w:shd w:val="clear" w:color="auto" w:fill="CCEEFF"/>
          </w:tcPr>
          <w:p>
            <w:pPr>
              <w:spacing w:after="0"/>
              <w:rPr>
                <w:sz w:val="13"/>
                <w:szCs w:val="13"/>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Definitive allocation of free shares</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5"/>
              </w:rPr>
              <w:t>633,655.65</w:t>
            </w:r>
          </w:p>
        </w:tc>
        <w:tc>
          <w:tcPr>
            <w:tcW w:w="2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17,728</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63,383,293</w:t>
            </w:r>
          </w:p>
        </w:tc>
        <w:tc>
          <w:tcPr>
            <w:tcW w:w="1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633,832.93</w:t>
            </w: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6"/>
              </w:rPr>
              <w:t>0.00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20/03/2025  Definitive allocation of free shares</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633,832.93</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35,456</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63,418,749</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634,187.49</w:t>
            </w:r>
          </w:p>
        </w:tc>
        <w:tc>
          <w:tcPr>
            <w:tcW w:w="18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22/04/2025  Definitive allocation of free shares</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5"/>
              </w:rPr>
              <w:t>634,197.49</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17,728</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63,436,477</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634,364.77</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6"/>
              </w:rPr>
              <w:t>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28/05/2025  Definitive allocation of free shares</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634,364.77</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17,728</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63,454,205</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634,542.05</w:t>
            </w:r>
          </w:p>
        </w:tc>
        <w:tc>
          <w:tcPr>
            <w:tcW w:w="18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24/06/2025  Definitive allocation of free shares</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5"/>
              </w:rPr>
              <w:t>634,542.05</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17,728</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63,471,933</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634,719.33</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6"/>
              </w:rPr>
              <w:t>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Shareholders’ Meetings and Voting Rights (Articles 12, 22, 23, 24, 25 and 26 of the By-Laws)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4" w:lineRule="exact"/>
        <w:rPr>
          <w:sz w:val="20"/>
          <w:szCs w:val="20"/>
          <w:color w:val="auto"/>
        </w:rPr>
      </w:pPr>
    </w:p>
    <w:p>
      <w:pPr>
        <w:ind w:left="1320" w:right="499"/>
        <w:spacing w:after="0" w:line="290" w:lineRule="auto"/>
        <w:rPr>
          <w:sz w:val="20"/>
          <w:szCs w:val="20"/>
          <w:color w:val="auto"/>
        </w:rPr>
      </w:pPr>
      <w:r>
        <w:rPr>
          <w:rFonts w:ascii="Times New Roman" w:cs="Times New Roman" w:eastAsia="Times New Roman" w:hAnsi="Times New Roman"/>
          <w:sz w:val="14"/>
          <w:szCs w:val="14"/>
          <w:color w:val="auto"/>
        </w:rPr>
        <w:t>In accordance with the French Commercial Code (</w:t>
      </w:r>
      <w:r>
        <w:rPr>
          <w:rFonts w:ascii="Times New Roman" w:cs="Times New Roman" w:eastAsia="Times New Roman" w:hAnsi="Times New Roman"/>
          <w:sz w:val="14"/>
          <w:szCs w:val="14"/>
          <w:i w:val="1"/>
          <w:iCs w:val="1"/>
          <w:color w:val="auto"/>
        </w:rPr>
        <w:t>Code de Commerce</w:t>
      </w:r>
      <w:r>
        <w:rPr>
          <w:rFonts w:ascii="Times New Roman" w:cs="Times New Roman" w:eastAsia="Times New Roman" w:hAnsi="Times New Roman"/>
          <w:sz w:val="14"/>
          <w:szCs w:val="14"/>
          <w:color w:val="auto"/>
        </w:rPr>
        <w:t>), there are three types of shareholders’ meetings: ordinary, extraordinary and special.</w:t>
      </w:r>
    </w:p>
    <w:p>
      <w:pPr>
        <w:spacing w:after="0" w:line="122"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w:t>
      </w:r>
    </w:p>
    <w:p>
      <w:pPr>
        <w:spacing w:after="0" w:line="140" w:lineRule="exact"/>
        <w:rPr>
          <w:sz w:val="20"/>
          <w:szCs w:val="20"/>
          <w:color w:val="auto"/>
        </w:rPr>
      </w:pPr>
    </w:p>
    <w:p>
      <w:pPr>
        <w:ind w:left="1320" w:right="379"/>
        <w:spacing w:after="0" w:line="257" w:lineRule="auto"/>
        <w:rPr>
          <w:sz w:val="20"/>
          <w:szCs w:val="20"/>
          <w:color w:val="auto"/>
        </w:rPr>
      </w:pPr>
      <w:r>
        <w:rPr>
          <w:rFonts w:ascii="Times New Roman" w:cs="Times New Roman" w:eastAsia="Times New Roman" w:hAnsi="Times New Roman"/>
          <w:sz w:val="14"/>
          <w:szCs w:val="14"/>
          <w:color w:val="auto"/>
        </w:rPr>
        <w:t>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1" w:lineRule="exact"/>
        <w:rPr>
          <w:sz w:val="20"/>
          <w:szCs w:val="20"/>
          <w:color w:val="auto"/>
        </w:rPr>
      </w:pPr>
    </w:p>
    <w:p>
      <w:pPr>
        <w:ind w:left="1320" w:right="359"/>
        <w:spacing w:after="0" w:line="259" w:lineRule="auto"/>
        <w:rPr>
          <w:sz w:val="20"/>
          <w:szCs w:val="20"/>
          <w:color w:val="auto"/>
        </w:rPr>
      </w:pPr>
      <w:r>
        <w:rPr>
          <w:rFonts w:ascii="Times New Roman" w:cs="Times New Roman" w:eastAsia="Times New Roman" w:hAnsi="Times New Roman"/>
          <w:sz w:val="14"/>
          <w:szCs w:val="14"/>
          <w:color w:val="auto"/>
        </w:rPr>
        <w:t>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Special Voting Rights of Warrant Holders</w:t>
      </w:r>
    </w:p>
    <w:p>
      <w:pPr>
        <w:spacing w:after="0" w:line="94" w:lineRule="exact"/>
        <w:rPr>
          <w:sz w:val="20"/>
          <w:szCs w:val="20"/>
          <w:color w:val="auto"/>
        </w:rPr>
      </w:pPr>
    </w:p>
    <w:p>
      <w:pPr>
        <w:ind w:left="1320" w:right="199"/>
        <w:spacing w:after="0" w:line="265" w:lineRule="auto"/>
        <w:rPr>
          <w:sz w:val="20"/>
          <w:szCs w:val="20"/>
          <w:color w:val="auto"/>
        </w:rPr>
      </w:pPr>
      <w:r>
        <w:rPr>
          <w:rFonts w:ascii="Times New Roman" w:cs="Times New Roman" w:eastAsia="Times New Roman" w:hAnsi="Times New Roman"/>
          <w:sz w:val="14"/>
          <w:szCs w:val="14"/>
          <w:color w:val="auto"/>
        </w:rPr>
        <w:t>Under French law, the holders of warrants of the same class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warrants that were issued at the same time and with the same rights), including founder’s share warrants (BCEs),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Shareholders’ Meetings</w:t>
      </w:r>
    </w:p>
    <w:p>
      <w:pPr>
        <w:spacing w:after="0" w:line="96"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Times New Roman" w:cs="Times New Roman" w:eastAsia="Times New Roman" w:hAnsi="Times New Roman"/>
          <w:sz w:val="14"/>
          <w:szCs w:val="14"/>
          <w:i w:val="1"/>
          <w:iCs w:val="1"/>
          <w:color w:val="auto"/>
        </w:rPr>
        <w:t>Tribunal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Commerce</w:t>
      </w:r>
      <w:r>
        <w:rPr>
          <w:rFonts w:ascii="Times New Roman" w:cs="Times New Roman" w:eastAsia="Times New Roman" w:hAnsi="Times New Roman"/>
          <w:sz w:val="14"/>
          <w:szCs w:val="14"/>
          <w:color w:val="auto"/>
        </w:rPr>
        <w:t>) at the request of the Board. The Board may also convene an ordinary or extraordinary shareholders’ meeting upon proper notice at any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year.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w:t>
      </w:r>
    </w:p>
    <w:p>
      <w:pPr>
        <w:spacing w:after="0" w:line="147" w:lineRule="exact"/>
        <w:rPr>
          <w:sz w:val="20"/>
          <w:szCs w:val="20"/>
          <w:color w:val="auto"/>
        </w:rPr>
      </w:pPr>
    </w:p>
    <w:p>
      <w:pPr>
        <w:ind w:left="1320" w:right="399"/>
        <w:spacing w:after="0" w:line="270" w:lineRule="auto"/>
        <w:rPr>
          <w:sz w:val="20"/>
          <w:szCs w:val="20"/>
          <w:color w:val="auto"/>
        </w:rPr>
      </w:pPr>
      <w:r>
        <w:rPr>
          <w:rFonts w:ascii="Times New Roman" w:cs="Times New Roman" w:eastAsia="Times New Roman" w:hAnsi="Times New Roman"/>
          <w:sz w:val="14"/>
          <w:szCs w:val="14"/>
          <w:color w:val="auto"/>
        </w:rPr>
        <w:t>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of Shareholders’ Meeting</w:t>
      </w:r>
    </w:p>
    <w:p>
      <w:pPr>
        <w:spacing w:after="0" w:line="96"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 xml:space="preserve">We are subject to French law requirements in relation to notice of shareholders’ meetings and announce shareholders’ meetings at least 35 days in advance by means of a preliminary notice published in the </w:t>
      </w:r>
      <w:r>
        <w:rPr>
          <w:rFonts w:ascii="Times New Roman" w:cs="Times New Roman" w:eastAsia="Times New Roman" w:hAnsi="Times New Roman"/>
          <w:sz w:val="14"/>
          <w:szCs w:val="14"/>
          <w:i w:val="1"/>
          <w:iCs w:val="1"/>
          <w:color w:val="auto"/>
        </w:rPr>
        <w:t>Bulletin des annonces légales obligatoires</w:t>
      </w:r>
      <w:r>
        <w:rPr>
          <w:rFonts w:ascii="Times New Roman" w:cs="Times New Roman" w:eastAsia="Times New Roman" w:hAnsi="Times New Roman"/>
          <w:sz w:val="14"/>
          <w:szCs w:val="14"/>
          <w:color w:val="auto"/>
        </w:rPr>
        <w:t xml:space="preserve"> (BALO), as well as on our website at least 21 days prior to the meeting. At least 15 days prior to the date set for a shareholders’ meeting, or ten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w:t>
      </w:r>
    </w:p>
    <w:p>
      <w:pPr>
        <w:spacing w:after="0" w:line="146"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 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w:t>
      </w:r>
    </w:p>
    <w:p>
      <w:pPr>
        <w:spacing w:after="0" w:line="2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Agenda and Conduct of Annual Shareholders’ Meetings.</w:t>
      </w:r>
    </w:p>
    <w:p>
      <w:pPr>
        <w:spacing w:after="0" w:line="96"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Attendance and Voting at Shareholders’ Meetings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Ownership of one share implies, </w:t>
      </w:r>
      <w:r>
        <w:rPr>
          <w:rFonts w:ascii="Times New Roman" w:cs="Times New Roman" w:eastAsia="Times New Roman" w:hAnsi="Times New Roman"/>
          <w:sz w:val="14"/>
          <w:szCs w:val="14"/>
          <w:i w:val="1"/>
          <w:iCs w:val="1"/>
          <w:color w:val="auto"/>
        </w:rPr>
        <w:t>ipso jure</w:t>
      </w:r>
      <w:r>
        <w:rPr>
          <w:rFonts w:ascii="Times New Roman" w:cs="Times New Roman" w:eastAsia="Times New Roman" w:hAnsi="Times New Roman"/>
          <w:sz w:val="14"/>
          <w:szCs w:val="14"/>
          <w:color w:val="auto"/>
        </w:rPr>
        <w:t>, adherence to our by-laws and the decision of the shareholders’ meeting.</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539"/>
        <w:spacing w:after="0" w:line="287" w:lineRule="auto"/>
        <w:rPr>
          <w:sz w:val="20"/>
          <w:szCs w:val="20"/>
          <w:color w:val="auto"/>
        </w:rPr>
      </w:pPr>
      <w:r>
        <w:rPr>
          <w:rFonts w:ascii="Times New Roman" w:cs="Times New Roman" w:eastAsia="Times New Roman" w:hAnsi="Times New Roman"/>
          <w:sz w:val="14"/>
          <w:szCs w:val="14"/>
          <w:color w:val="auto"/>
        </w:rPr>
        <w:t>The voting rights attached to equity or dividend shares are proportional to the percentage of the share capital they represent. Each share entitles the holder to one vote.</w:t>
      </w:r>
    </w:p>
    <w:p>
      <w:pPr>
        <w:spacing w:after="0" w:line="124"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However, a double voting right compared to that conferred to other shares with regard to the percentage of share capital they represent is allocated to all fully paid-up ordinary shares with proof of being held in registered form by the same owner for at least two (2) years. Under French law, treasury shares or ordinary shares held by entities controlled by us are not entitled to voting rights and do not count for quorum purposes. Purchasers of ADSs or ordinary shares in an offering under this prospectus, in the open market or in subsequent offerings will be unlikely to meet the requirements to have double voting rights attach to any ordinary shares held by them.</w:t>
      </w:r>
    </w:p>
    <w:p>
      <w:pPr>
        <w:spacing w:after="0" w:line="143" w:lineRule="exact"/>
        <w:rPr>
          <w:sz w:val="20"/>
          <w:szCs w:val="20"/>
          <w:color w:val="auto"/>
        </w:rPr>
      </w:pPr>
    </w:p>
    <w:p>
      <w:pPr>
        <w:jc w:val="both"/>
        <w:ind w:left="1320" w:right="239"/>
        <w:spacing w:after="0" w:line="270" w:lineRule="auto"/>
        <w:rPr>
          <w:sz w:val="20"/>
          <w:szCs w:val="20"/>
          <w:color w:val="auto"/>
        </w:rPr>
      </w:pPr>
      <w:r>
        <w:rPr>
          <w:rFonts w:ascii="Times New Roman" w:cs="Times New Roman" w:eastAsia="Times New Roman" w:hAnsi="Times New Roman"/>
          <w:sz w:val="14"/>
          <w:szCs w:val="14"/>
          <w:color w:val="auto"/>
        </w:rPr>
        <w:t>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Proxies and Votes by Mail or Videoconference</w:t>
      </w:r>
    </w:p>
    <w:p>
      <w:pPr>
        <w:spacing w:after="0" w:line="96" w:lineRule="exact"/>
        <w:rPr>
          <w:sz w:val="20"/>
          <w:szCs w:val="20"/>
          <w:color w:val="auto"/>
        </w:rPr>
      </w:pPr>
    </w:p>
    <w:p>
      <w:pPr>
        <w:ind w:left="1320" w:right="419"/>
        <w:spacing w:after="0" w:line="264" w:lineRule="auto"/>
        <w:rPr>
          <w:sz w:val="20"/>
          <w:szCs w:val="20"/>
          <w:color w:val="auto"/>
        </w:rPr>
      </w:pPr>
      <w:r>
        <w:rPr>
          <w:rFonts w:ascii="Times New Roman" w:cs="Times New Roman" w:eastAsia="Times New Roman" w:hAnsi="Times New Roman"/>
          <w:sz w:val="14"/>
          <w:szCs w:val="14"/>
          <w:color w:val="auto"/>
        </w:rPr>
        <w:t>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by videoconference or by any means of telecommunications in accordance with applicable regulations, if the Board provides for such possibility when convening the meeting.</w:t>
      </w:r>
    </w:p>
    <w:p>
      <w:pPr>
        <w:spacing w:after="0" w:line="140" w:lineRule="exact"/>
        <w:rPr>
          <w:sz w:val="20"/>
          <w:szCs w:val="20"/>
          <w:color w:val="auto"/>
        </w:rPr>
      </w:pPr>
    </w:p>
    <w:p>
      <w:pPr>
        <w:ind w:left="1320" w:right="339"/>
        <w:spacing w:after="0" w:line="261" w:lineRule="auto"/>
        <w:rPr>
          <w:sz w:val="20"/>
          <w:szCs w:val="20"/>
          <w:color w:val="auto"/>
        </w:rPr>
      </w:pPr>
      <w:r>
        <w:rPr>
          <w:rFonts w:ascii="Times New Roman" w:cs="Times New Roman" w:eastAsia="Times New Roman" w:hAnsi="Times New Roman"/>
          <w:sz w:val="14"/>
          <w:szCs w:val="14"/>
          <w:color w:val="auto"/>
        </w:rPr>
        <w:t>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w:t>
      </w:r>
    </w:p>
    <w:p>
      <w:pPr>
        <w:spacing w:after="0" w:line="143"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 the Board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w:t>
      </w:r>
    </w:p>
    <w:p>
      <w:pPr>
        <w:spacing w:after="0" w:line="146" w:lineRule="exact"/>
        <w:rPr>
          <w:sz w:val="20"/>
          <w:szCs w:val="20"/>
          <w:color w:val="auto"/>
        </w:rPr>
      </w:pPr>
    </w:p>
    <w:p>
      <w:pPr>
        <w:ind w:left="1320" w:right="199"/>
        <w:spacing w:after="0" w:line="270" w:lineRule="auto"/>
        <w:rPr>
          <w:sz w:val="20"/>
          <w:szCs w:val="20"/>
          <w:color w:val="auto"/>
        </w:rPr>
      </w:pPr>
      <w:r>
        <w:rPr>
          <w:rFonts w:ascii="Times New Roman" w:cs="Times New Roman" w:eastAsia="Times New Roman" w:hAnsi="Times New Roman"/>
          <w:sz w:val="14"/>
          <w:szCs w:val="14"/>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Quorum</w:t>
      </w:r>
    </w:p>
    <w:p>
      <w:pPr>
        <w:spacing w:after="0" w:line="96"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Majority</w:t>
      </w:r>
    </w:p>
    <w:p>
      <w:pPr>
        <w:spacing w:after="0" w:line="96"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Financial Statements and Other Communications with Shareholders</w:t>
      </w:r>
    </w:p>
    <w:p>
      <w:pPr>
        <w:spacing w:after="0" w:line="96" w:lineRule="exact"/>
        <w:rPr>
          <w:sz w:val="20"/>
          <w:szCs w:val="20"/>
          <w:color w:val="auto"/>
        </w:rPr>
      </w:pPr>
    </w:p>
    <w:p>
      <w:pPr>
        <w:jc w:val="both"/>
        <w:ind w:left="1320" w:right="519"/>
        <w:spacing w:after="0" w:line="287" w:lineRule="auto"/>
        <w:rPr>
          <w:sz w:val="20"/>
          <w:szCs w:val="20"/>
          <w:color w:val="auto"/>
        </w:rPr>
      </w:pPr>
      <w:r>
        <w:rPr>
          <w:rFonts w:ascii="Times New Roman" w:cs="Times New Roman" w:eastAsia="Times New Roman" w:hAnsi="Times New Roman"/>
          <w:sz w:val="14"/>
          <w:szCs w:val="14"/>
          <w:color w:val="auto"/>
        </w:rPr>
        <w:t>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w:t>
      </w:r>
    </w:p>
    <w:p>
      <w:pPr>
        <w:spacing w:after="0" w:line="124"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Rights, Preferences and Restrictions Attaching to Ordinary Shares (Articles 7, 11, 30, 31 and 32 of the By-Laws)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Legal Reserve</w:t>
      </w:r>
    </w:p>
    <w:p>
      <w:pPr>
        <w:spacing w:after="0" w:line="96"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2024, our legal reserve was €0.</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Approval of Dividends</w:t>
      </w:r>
    </w:p>
    <w:p>
      <w:pPr>
        <w:spacing w:after="0" w:line="96" w:lineRule="exact"/>
        <w:rPr>
          <w:sz w:val="20"/>
          <w:szCs w:val="20"/>
          <w:color w:val="auto"/>
        </w:rPr>
      </w:pPr>
    </w:p>
    <w:p>
      <w:pPr>
        <w:jc w:val="both"/>
        <w:ind w:left="1320" w:right="219"/>
        <w:spacing w:after="0" w:line="270" w:lineRule="auto"/>
        <w:rPr>
          <w:sz w:val="20"/>
          <w:szCs w:val="20"/>
          <w:color w:val="auto"/>
        </w:rPr>
      </w:pPr>
      <w:r>
        <w:rPr>
          <w:rFonts w:ascii="Times New Roman" w:cs="Times New Roman" w:eastAsia="Times New Roman" w:hAnsi="Times New Roman"/>
          <w:sz w:val="14"/>
          <w:szCs w:val="14"/>
          <w:color w:val="auto"/>
        </w:rPr>
        <w:t>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w:t>
      </w:r>
    </w:p>
    <w:p>
      <w:pPr>
        <w:spacing w:after="0" w:line="136" w:lineRule="exact"/>
        <w:rPr>
          <w:sz w:val="20"/>
          <w:szCs w:val="20"/>
          <w:color w:val="auto"/>
        </w:rPr>
      </w:pPr>
    </w:p>
    <w:p>
      <w:pPr>
        <w:jc w:val="both"/>
        <w:ind w:left="1320" w:right="259"/>
        <w:spacing w:after="0" w:line="264" w:lineRule="auto"/>
        <w:rPr>
          <w:sz w:val="20"/>
          <w:szCs w:val="20"/>
          <w:color w:val="auto"/>
        </w:rPr>
      </w:pPr>
      <w:r>
        <w:rPr>
          <w:rFonts w:ascii="Times New Roman" w:cs="Times New Roman" w:eastAsia="Times New Roman" w:hAnsi="Times New Roman"/>
          <w:sz w:val="14"/>
          <w:szCs w:val="14"/>
          <w:color w:val="auto"/>
        </w:rPr>
        <w:t>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 interim dividends paid in shares, prior authorization by an ordinary shareholders’ meeting is required.</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Distribution of Dividends and Timing of Payment</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 principle, dividends are distributed to shareholders pro rata according to their respective shareholdings.</w:t>
      </w:r>
    </w:p>
    <w:p>
      <w:pPr>
        <w:spacing w:after="0" w:line="26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Timing of Payment</w:t>
      </w:r>
    </w:p>
    <w:p>
      <w:pPr>
        <w:spacing w:after="0" w:line="96" w:lineRule="exact"/>
        <w:rPr>
          <w:sz w:val="20"/>
          <w:szCs w:val="20"/>
          <w:color w:val="auto"/>
        </w:rPr>
      </w:pPr>
    </w:p>
    <w:p>
      <w:pPr>
        <w:jc w:val="both"/>
        <w:ind w:left="1320" w:right="259"/>
        <w:spacing w:after="0" w:line="287" w:lineRule="auto"/>
        <w:rPr>
          <w:sz w:val="20"/>
          <w:szCs w:val="20"/>
          <w:color w:val="auto"/>
        </w:rPr>
      </w:pPr>
      <w:r>
        <w:rPr>
          <w:rFonts w:ascii="Times New Roman" w:cs="Times New Roman" w:eastAsia="Times New Roman" w:hAnsi="Times New Roman"/>
          <w:sz w:val="14"/>
          <w:szCs w:val="14"/>
          <w:color w:val="auto"/>
        </w:rPr>
        <w:t>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w:t>
      </w:r>
    </w:p>
    <w:p>
      <w:pPr>
        <w:spacing w:after="0" w:line="124" w:lineRule="exact"/>
        <w:rPr>
          <w:sz w:val="20"/>
          <w:szCs w:val="20"/>
          <w:color w:val="auto"/>
        </w:rPr>
      </w:pPr>
    </w:p>
    <w:p>
      <w:pPr>
        <w:ind w:left="1320" w:right="339"/>
        <w:spacing w:after="0" w:line="270" w:lineRule="auto"/>
        <w:rPr>
          <w:sz w:val="20"/>
          <w:szCs w:val="20"/>
          <w:color w:val="auto"/>
        </w:rPr>
      </w:pPr>
      <w:r>
        <w:rPr>
          <w:rFonts w:ascii="Times New Roman" w:cs="Times New Roman" w:eastAsia="Times New Roman" w:hAnsi="Times New Roman"/>
          <w:sz w:val="14"/>
          <w:szCs w:val="14"/>
          <w:color w:val="auto"/>
        </w:rPr>
        <w:t>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 absence of such a decision by the shareholders. Shareholders that own shares on the actual payment date are entitled to the dividend.</w:t>
      </w:r>
    </w:p>
    <w:p>
      <w:pPr>
        <w:spacing w:after="0" w:line="136" w:lineRule="exact"/>
        <w:rPr>
          <w:sz w:val="20"/>
          <w:szCs w:val="20"/>
          <w:color w:val="auto"/>
        </w:rPr>
      </w:pPr>
    </w:p>
    <w:p>
      <w:pPr>
        <w:ind w:left="1320" w:right="479"/>
        <w:spacing w:after="0" w:line="287" w:lineRule="auto"/>
        <w:rPr>
          <w:sz w:val="20"/>
          <w:szCs w:val="20"/>
          <w:color w:val="auto"/>
        </w:rPr>
      </w:pPr>
      <w:r>
        <w:rPr>
          <w:rFonts w:ascii="Times New Roman" w:cs="Times New Roman" w:eastAsia="Times New Roman" w:hAnsi="Times New Roman"/>
          <w:sz w:val="14"/>
          <w:szCs w:val="14"/>
          <w:color w:val="auto"/>
        </w:rPr>
        <w:t>Shareholders may be granted an option to receive dividends in cash or in shares, in accordance with legal conditions. The conditions for payment of dividends in cash shall be set at the shareholders’ meeting or, failing this, by the Board.</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Increases in Share Capital</w:t>
      </w:r>
    </w:p>
    <w:p>
      <w:pPr>
        <w:spacing w:after="0" w:line="96"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 Shareholders’ Meetings and Voting Rights (Articles 6, 12 and 22 of the By-Laws)” above.</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Increases in our share capital may be effected by:</w:t>
      </w:r>
    </w:p>
    <w:p>
      <w:pPr>
        <w:spacing w:after="0" w:line="104" w:lineRule="exact"/>
        <w:rPr>
          <w:sz w:val="20"/>
          <w:szCs w:val="20"/>
          <w:color w:val="auto"/>
        </w:rPr>
      </w:pPr>
    </w:p>
    <w:p>
      <w:pPr>
        <w:ind w:left="2080" w:hanging="340"/>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additional shares;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par value of existing shares;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a new class of equity securities; and</w:t>
      </w:r>
    </w:p>
    <w:p>
      <w:pPr>
        <w:spacing w:after="0" w:line="104" w:lineRule="exact"/>
        <w:rPr>
          <w:rFonts w:ascii="Times New Roman" w:cs="Times New Roman" w:eastAsia="Times New Roman" w:hAnsi="Times New Roman"/>
          <w:sz w:val="14"/>
          <w:szCs w:val="14"/>
          <w:color w:val="auto"/>
        </w:rPr>
      </w:pPr>
    </w:p>
    <w:p>
      <w:pPr>
        <w:ind w:left="5580" w:right="3779" w:hanging="3840"/>
        <w:spacing w:after="0" w:line="461" w:lineRule="auto"/>
        <w:tabs>
          <w:tab w:leader="none" w:pos="208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the rights attached to securities giving access to the share capital. 19</w:t>
      </w:r>
    </w:p>
    <w:p>
      <w:pPr>
        <w:sectPr>
          <w:pgSz w:w="11900" w:h="16838" w:orient="portrait"/>
          <w:cols w:equalWidth="0" w:num="1">
            <w:col w:w="10159"/>
          </w:cols>
          <w:pgMar w:left="300" w:top="38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Increases in share capital by issuing additional securities may be effected through one or a combination of the following:</w:t>
      </w:r>
    </w:p>
    <w:p>
      <w:pPr>
        <w:spacing w:after="0" w:line="104" w:lineRule="exact"/>
        <w:rPr>
          <w:sz w:val="20"/>
          <w:szCs w:val="20"/>
          <w:color w:val="auto"/>
        </w:rPr>
      </w:pPr>
    </w:p>
    <w:p>
      <w:pPr>
        <w:ind w:left="2080" w:hanging="340"/>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for cash;</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for assets contributed in kind;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 exchange offer;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conversion of previously issued debt instruments;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capitalization of profits, reserves or share premium; and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conditions, by way of offset against debt incurred by us.</w:t>
      </w:r>
    </w:p>
    <w:p>
      <w:pPr>
        <w:spacing w:after="0" w:line="177" w:lineRule="exact"/>
        <w:rPr>
          <w:sz w:val="20"/>
          <w:szCs w:val="20"/>
          <w:color w:val="auto"/>
        </w:rPr>
      </w:pPr>
    </w:p>
    <w:p>
      <w:pPr>
        <w:ind w:left="1320" w:right="199"/>
        <w:spacing w:after="0" w:line="271" w:lineRule="auto"/>
        <w:rPr>
          <w:sz w:val="20"/>
          <w:szCs w:val="20"/>
          <w:color w:val="auto"/>
        </w:rPr>
      </w:pPr>
      <w:r>
        <w:rPr>
          <w:rFonts w:ascii="Times New Roman" w:cs="Times New Roman" w:eastAsia="Times New Roman" w:hAnsi="Times New Roman"/>
          <w:sz w:val="14"/>
          <w:szCs w:val="14"/>
          <w:color w:val="auto"/>
        </w:rPr>
        <w:t>Subject to certain conditions, shareholders may delegate the authority (</w:t>
      </w:r>
      <w:r>
        <w:rPr>
          <w:rFonts w:ascii="Times New Roman" w:cs="Times New Roman" w:eastAsia="Times New Roman" w:hAnsi="Times New Roman"/>
          <w:sz w:val="14"/>
          <w:szCs w:val="14"/>
          <w:i w:val="1"/>
          <w:iCs w:val="1"/>
          <w:color w:val="auto"/>
        </w:rPr>
        <w:t>délégation de compétence</w:t>
      </w:r>
      <w:r>
        <w:rPr>
          <w:rFonts w:ascii="Times New Roman" w:cs="Times New Roman" w:eastAsia="Times New Roman" w:hAnsi="Times New Roman"/>
          <w:sz w:val="14"/>
          <w:szCs w:val="14"/>
          <w:color w:val="auto"/>
        </w:rPr>
        <w:t>) or the powers (</w:t>
      </w:r>
      <w:r>
        <w:rPr>
          <w:rFonts w:ascii="Times New Roman" w:cs="Times New Roman" w:eastAsia="Times New Roman" w:hAnsi="Times New Roman"/>
          <w:sz w:val="14"/>
          <w:szCs w:val="14"/>
          <w:i w:val="1"/>
          <w:iCs w:val="1"/>
          <w:color w:val="auto"/>
        </w:rPr>
        <w:t>délégation de pouvoirs</w:t>
      </w:r>
      <w:r>
        <w:rPr>
          <w:rFonts w:ascii="Times New Roman" w:cs="Times New Roman" w:eastAsia="Times New Roman" w:hAnsi="Times New Roman"/>
          <w:sz w:val="14"/>
          <w:szCs w:val="14"/>
          <w:color w:val="auto"/>
        </w:rPr>
        <w:t>) to carry out certain increases in our share capital to the Board following approval at an extraordinary shareholders’ meeting. The Board may further sub-delegate this right to the Chief Executive Officer.</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Reduction in Share Capital</w:t>
      </w:r>
    </w:p>
    <w:p>
      <w:pPr>
        <w:spacing w:after="0" w:line="96" w:lineRule="exact"/>
        <w:rPr>
          <w:sz w:val="20"/>
          <w:szCs w:val="20"/>
          <w:color w:val="auto"/>
        </w:rPr>
      </w:pPr>
    </w:p>
    <w:p>
      <w:pPr>
        <w:ind w:left="1320" w:right="319"/>
        <w:spacing w:after="0" w:line="270" w:lineRule="auto"/>
        <w:rPr>
          <w:sz w:val="20"/>
          <w:szCs w:val="20"/>
          <w:color w:val="auto"/>
        </w:rPr>
      </w:pPr>
      <w:r>
        <w:rPr>
          <w:rFonts w:ascii="Times New Roman" w:cs="Times New Roman" w:eastAsia="Times New Roman" w:hAnsi="Times New Roman"/>
          <w:sz w:val="14"/>
          <w:szCs w:val="14"/>
          <w:color w:val="auto"/>
        </w:rPr>
        <w:t>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w:t>
      </w:r>
    </w:p>
    <w:p>
      <w:pPr>
        <w:spacing w:after="0" w:line="136" w:lineRule="exact"/>
        <w:rPr>
          <w:sz w:val="20"/>
          <w:szCs w:val="20"/>
          <w:color w:val="auto"/>
        </w:rPr>
      </w:pPr>
    </w:p>
    <w:p>
      <w:pPr>
        <w:ind w:left="1320" w:right="199"/>
        <w:spacing w:after="0" w:line="260" w:lineRule="auto"/>
        <w:rPr>
          <w:sz w:val="20"/>
          <w:szCs w:val="20"/>
          <w:color w:val="auto"/>
        </w:rPr>
      </w:pPr>
      <w:r>
        <w:rPr>
          <w:rFonts w:ascii="Times New Roman" w:cs="Times New Roman" w:eastAsia="Times New Roman" w:hAnsi="Times New Roman"/>
          <w:sz w:val="14"/>
          <w:szCs w:val="14"/>
          <w:color w:val="auto"/>
        </w:rPr>
        <w:t>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w:t>
      </w:r>
    </w:p>
    <w:p>
      <w:pPr>
        <w:spacing w:after="0" w:line="3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Preferential Subscription Rights</w:t>
      </w:r>
    </w:p>
    <w:p>
      <w:pPr>
        <w:spacing w:after="0" w:line="96"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w:t>
      </w:r>
    </w:p>
    <w:p>
      <w:pPr>
        <w:spacing w:after="0" w:line="146" w:lineRule="exact"/>
        <w:rPr>
          <w:sz w:val="20"/>
          <w:szCs w:val="20"/>
          <w:color w:val="auto"/>
        </w:rPr>
      </w:pPr>
    </w:p>
    <w:p>
      <w:pPr>
        <w:ind w:left="1320" w:right="279"/>
        <w:spacing w:after="0" w:line="259" w:lineRule="auto"/>
        <w:rPr>
          <w:sz w:val="20"/>
          <w:szCs w:val="20"/>
          <w:color w:val="auto"/>
        </w:rPr>
      </w:pPr>
      <w:r>
        <w:rPr>
          <w:rFonts w:ascii="Times New Roman" w:cs="Times New Roman" w:eastAsia="Times New Roman" w:hAnsi="Times New Roman"/>
          <w:sz w:val="14"/>
          <w:szCs w:val="14"/>
          <w:color w:val="auto"/>
        </w:rPr>
        <w:t>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w:t>
      </w:r>
    </w:p>
    <w:p>
      <w:pPr>
        <w:spacing w:after="0" w:line="146" w:lineRule="exact"/>
        <w:rPr>
          <w:sz w:val="20"/>
          <w:szCs w:val="20"/>
          <w:color w:val="auto"/>
        </w:rPr>
      </w:pPr>
    </w:p>
    <w:p>
      <w:pPr>
        <w:ind w:left="1320" w:right="339"/>
        <w:spacing w:after="0" w:line="270" w:lineRule="auto"/>
        <w:rPr>
          <w:sz w:val="20"/>
          <w:szCs w:val="20"/>
          <w:color w:val="auto"/>
        </w:rPr>
      </w:pPr>
      <w:r>
        <w:rPr>
          <w:rFonts w:ascii="Times New Roman" w:cs="Times New Roman" w:eastAsia="Times New Roman" w:hAnsi="Times New Roman"/>
          <w:sz w:val="14"/>
          <w:szCs w:val="14"/>
          <w:color w:val="auto"/>
        </w:rPr>
        <w:t>In the event of a share capital increase without preferential subscription rights to existing shareholders through a public offering, the extraordinary shareholders’ meeting may authorize the Board to freely set the issuing price or to set the issuing price in accordance with the terms established by the extraordinary shareholders’ meeting.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Form, Holding and Transfer of Shares (Articles 10 and 11 of the By-Laws)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Form of Shares</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Our by-laws provide that the shares once fully paid may be held in registered or bearer form at the option of the shareholder, subject to applicable laws.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Shares not fully paid must be nominal.</w:t>
      </w:r>
    </w:p>
    <w:p>
      <w:pPr>
        <w:spacing w:after="0" w:line="2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Holding of Shares</w:t>
      </w:r>
    </w:p>
    <w:p>
      <w:pPr>
        <w:spacing w:after="0" w:line="96" w:lineRule="exact"/>
        <w:rPr>
          <w:sz w:val="20"/>
          <w:szCs w:val="20"/>
          <w:color w:val="auto"/>
        </w:rPr>
      </w:pPr>
    </w:p>
    <w:p>
      <w:pPr>
        <w:jc w:val="both"/>
        <w:ind w:left="1320" w:right="239"/>
        <w:spacing w:after="0" w:line="270" w:lineRule="auto"/>
        <w:rPr>
          <w:sz w:val="20"/>
          <w:szCs w:val="20"/>
          <w:color w:val="auto"/>
        </w:rPr>
      </w:pPr>
      <w:r>
        <w:rPr>
          <w:rFonts w:ascii="Times New Roman" w:cs="Times New Roman" w:eastAsia="Times New Roman" w:hAnsi="Times New Roman"/>
          <w:sz w:val="14"/>
          <w:szCs w:val="14"/>
          <w:color w:val="auto"/>
        </w:rPr>
        <w:t>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136"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Any owner of our shares may elect to have its shares held in registered form and registered in its name in an account currently maintained by Uptevia, 12 place des Etats-Unis, CS 40083, 92549 Montrouge 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w:t>
      </w:r>
    </w:p>
    <w:p>
      <w:pPr>
        <w:spacing w:after="0" w:line="143" w:lineRule="exact"/>
        <w:rPr>
          <w:sz w:val="20"/>
          <w:szCs w:val="20"/>
          <w:color w:val="auto"/>
        </w:rPr>
      </w:pPr>
    </w:p>
    <w:p>
      <w:pPr>
        <w:ind w:left="1320" w:right="279"/>
        <w:spacing w:after="0" w:line="270" w:lineRule="auto"/>
        <w:rPr>
          <w:sz w:val="20"/>
          <w:szCs w:val="20"/>
          <w:color w:val="auto"/>
        </w:rPr>
      </w:pPr>
      <w:r>
        <w:rPr>
          <w:rFonts w:ascii="Times New Roman" w:cs="Times New Roman" w:eastAsia="Times New Roman" w:hAnsi="Times New Roman"/>
          <w:sz w:val="14"/>
          <w:szCs w:val="14"/>
          <w:color w:val="auto"/>
        </w:rPr>
        <w:t>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w:t>
      </w:r>
    </w:p>
    <w:p>
      <w:pPr>
        <w:spacing w:after="0" w:line="136"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 of Shares</w:t>
      </w:r>
    </w:p>
    <w:p>
      <w:pPr>
        <w:spacing w:after="0" w:line="96" w:lineRule="exact"/>
        <w:rPr>
          <w:sz w:val="20"/>
          <w:szCs w:val="20"/>
          <w:color w:val="auto"/>
        </w:rPr>
      </w:pPr>
    </w:p>
    <w:p>
      <w:pPr>
        <w:ind w:left="1320" w:right="519"/>
        <w:spacing w:after="0" w:line="287" w:lineRule="auto"/>
        <w:rPr>
          <w:sz w:val="20"/>
          <w:szCs w:val="20"/>
          <w:color w:val="auto"/>
        </w:rPr>
      </w:pPr>
      <w:r>
        <w:rPr>
          <w:rFonts w:ascii="Times New Roman" w:cs="Times New Roman" w:eastAsia="Times New Roman" w:hAnsi="Times New Roman"/>
          <w:sz w:val="14"/>
          <w:szCs w:val="14"/>
          <w:color w:val="auto"/>
        </w:rPr>
        <w:t>Our by-laws do not contain any restrictions relating to the transfer of shares. Shares are freely negotiable, subject to applicable legal and regulatory provisions. French and European law provide for standstill obligations and prohibition of insider trading.</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6"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Disclosure Requirements for Holdings Exceeding Certain Thresholds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Declaration of Crossing of Ownership Thresholds (Article 11.2 of the By-laws)</w:t>
      </w:r>
    </w:p>
    <w:p>
      <w:pPr>
        <w:spacing w:after="0" w:line="96" w:lineRule="exact"/>
        <w:rPr>
          <w:sz w:val="20"/>
          <w:szCs w:val="20"/>
          <w:color w:val="auto"/>
        </w:rPr>
      </w:pPr>
    </w:p>
    <w:p>
      <w:pPr>
        <w:ind w:left="1320" w:right="239"/>
        <w:spacing w:after="0" w:line="236" w:lineRule="auto"/>
        <w:rPr>
          <w:sz w:val="20"/>
          <w:szCs w:val="20"/>
          <w:color w:val="auto"/>
        </w:rPr>
      </w:pPr>
      <w:r>
        <w:rPr>
          <w:rFonts w:ascii="Times New Roman" w:cs="Times New Roman" w:eastAsia="Times New Roman" w:hAnsi="Times New Roman"/>
          <w:sz w:val="14"/>
          <w:szCs w:val="14"/>
          <w:color w:val="auto"/>
        </w:rPr>
        <w:t xml:space="preserve">We are subject to certain disclosure requirements under French law. Any individual or entity, acting alone or in concert with others, that acquires, either directly or indirectly, shares representing more than 5%, 10%, 15%, 20%, 25%, 30%, 33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xml:space="preserve">%, 50%, 66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90% or 95% of our outstanding share capital or voting rights or that increases or decreases its shareholding or voting rights above or below any of those percentage thresholds, must notify us and the French Market Authority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or AMF, within four trading days of the date on which such threshold was crossed. French law and AMF regulations impose additional reporting requirements on persons who acquire more than 10%, 15%, 20% or 25% of the outstanding shares or voting rights of a listed company.</w:t>
      </w:r>
    </w:p>
    <w:p>
      <w:pPr>
        <w:spacing w:after="0" w:line="159" w:lineRule="exact"/>
        <w:rPr>
          <w:sz w:val="20"/>
          <w:szCs w:val="20"/>
          <w:color w:val="auto"/>
        </w:rPr>
      </w:pPr>
    </w:p>
    <w:p>
      <w:pPr>
        <w:jc w:val="both"/>
        <w:ind w:left="1320" w:right="319"/>
        <w:spacing w:after="0" w:line="270" w:lineRule="auto"/>
        <w:rPr>
          <w:sz w:val="20"/>
          <w:szCs w:val="20"/>
          <w:color w:val="auto"/>
        </w:rPr>
      </w:pPr>
      <w:r>
        <w:rPr>
          <w:rFonts w:ascii="Times New Roman" w:cs="Times New Roman" w:eastAsia="Times New Roman" w:hAnsi="Times New Roman"/>
          <w:sz w:val="14"/>
          <w:szCs w:val="14"/>
          <w:color w:val="auto"/>
        </w:rPr>
        <w:t>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w:t>
      </w:r>
    </w:p>
    <w:p>
      <w:pPr>
        <w:spacing w:after="0" w:line="136"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 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w:t>
      </w:r>
    </w:p>
    <w:p>
      <w:pPr>
        <w:spacing w:after="0" w:line="150" w:lineRule="exact"/>
        <w:rPr>
          <w:sz w:val="20"/>
          <w:szCs w:val="20"/>
          <w:color w:val="auto"/>
        </w:rPr>
      </w:pPr>
    </w:p>
    <w:p>
      <w:pPr>
        <w:ind w:left="1320" w:right="299"/>
        <w:spacing w:after="0" w:line="287" w:lineRule="auto"/>
        <w:rPr>
          <w:sz w:val="20"/>
          <w:szCs w:val="20"/>
          <w:color w:val="auto"/>
        </w:rPr>
      </w:pPr>
      <w:r>
        <w:rPr>
          <w:rFonts w:ascii="Times New Roman" w:cs="Times New Roman" w:eastAsia="Times New Roman" w:hAnsi="Times New Roman"/>
          <w:sz w:val="14"/>
          <w:szCs w:val="14"/>
          <w:color w:val="auto"/>
        </w:rPr>
        <w:t>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w:t>
      </w:r>
    </w:p>
    <w:p>
      <w:pPr>
        <w:spacing w:after="0" w:line="124"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Treasury Shares and Purchases of our Own Shares</w:t>
      </w:r>
    </w:p>
    <w:p>
      <w:pPr>
        <w:spacing w:after="0" w:line="96" w:lineRule="exact"/>
        <w:rPr>
          <w:sz w:val="20"/>
          <w:szCs w:val="20"/>
          <w:color w:val="auto"/>
        </w:rPr>
      </w:pPr>
    </w:p>
    <w:p>
      <w:pPr>
        <w:ind w:left="1320" w:right="199"/>
        <w:spacing w:after="0" w:line="287" w:lineRule="auto"/>
        <w:rPr>
          <w:sz w:val="20"/>
          <w:szCs w:val="20"/>
          <w:color w:val="auto"/>
        </w:rPr>
      </w:pPr>
      <w:r>
        <w:rPr>
          <w:rFonts w:ascii="Times New Roman" w:cs="Times New Roman" w:eastAsia="Times New Roman" w:hAnsi="Times New Roman"/>
          <w:sz w:val="14"/>
          <w:szCs w:val="14"/>
          <w:color w:val="auto"/>
        </w:rPr>
        <w:t>We are not permitted to hold more than 10% of our share capital in treasury shares or to have more than 10% of our share capital to be held for us by our subsidiaries. Treasury shares are not entitled to dividends, voting rights or preferential subscription rights.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Repurchase and Redemption of Shares</w:t>
      </w:r>
    </w:p>
    <w:p>
      <w:pPr>
        <w:spacing w:after="0" w:line="96" w:lineRule="exact"/>
        <w:rPr>
          <w:sz w:val="20"/>
          <w:szCs w:val="20"/>
          <w:color w:val="auto"/>
        </w:rPr>
      </w:pPr>
    </w:p>
    <w:p>
      <w:pPr>
        <w:ind w:left="1320" w:right="459"/>
        <w:spacing w:after="0" w:line="270" w:lineRule="auto"/>
        <w:rPr>
          <w:sz w:val="20"/>
          <w:szCs w:val="20"/>
          <w:color w:val="auto"/>
        </w:rPr>
      </w:pPr>
      <w:r>
        <w:rPr>
          <w:rFonts w:ascii="Times New Roman" w:cs="Times New Roman" w:eastAsia="Times New Roman" w:hAnsi="Times New Roman"/>
          <w:sz w:val="14"/>
          <w:szCs w:val="14"/>
          <w:color w:val="auto"/>
        </w:rPr>
        <w:t>Under French law, we may acquire our own shares. Such acquisition may be challenged on the ground of market abuse regulations. However, EU Market Abuse Regulation 596/2014 of April 16, 2014, or MAR, provides for safe harbor exemptions when the acquisition is made for the following purposes only:</w:t>
      </w:r>
    </w:p>
    <w:p>
      <w:pPr>
        <w:spacing w:after="0" w:line="61" w:lineRule="exact"/>
        <w:rPr>
          <w:sz w:val="20"/>
          <w:szCs w:val="20"/>
          <w:color w:val="auto"/>
        </w:rPr>
      </w:pPr>
    </w:p>
    <w:p>
      <w:pPr>
        <w:ind w:left="2080" w:right="219" w:hanging="340"/>
        <w:spacing w:after="0" w:line="270" w:lineRule="auto"/>
        <w:tabs>
          <w:tab w:leader="none" w:pos="2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meet obligations arising from debt securities that are exchangeable into equity instruments;</w:t>
      </w:r>
    </w:p>
    <w:p>
      <w:pPr>
        <w:spacing w:after="0" w:line="104" w:lineRule="exact"/>
        <w:rPr>
          <w:rFonts w:ascii="Times New Roman" w:cs="Times New Roman" w:eastAsia="Times New Roman" w:hAnsi="Times New Roman"/>
          <w:sz w:val="14"/>
          <w:szCs w:val="14"/>
          <w:color w:val="auto"/>
        </w:rPr>
      </w:pPr>
    </w:p>
    <w:p>
      <w:pPr>
        <w:ind w:left="2080" w:right="359" w:hanging="340"/>
        <w:spacing w:after="0" w:line="287" w:lineRule="auto"/>
        <w:tabs>
          <w:tab w:leader="none" w:pos="2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49" w:lineRule="exact"/>
        <w:rPr>
          <w:rFonts w:ascii="Times New Roman" w:cs="Times New Roman" w:eastAsia="Times New Roman" w:hAnsi="Times New Roman"/>
          <w:sz w:val="14"/>
          <w:szCs w:val="14"/>
          <w:color w:val="auto"/>
        </w:rPr>
      </w:pPr>
    </w:p>
    <w:p>
      <w:pPr>
        <w:ind w:left="2080" w:right="479" w:hanging="340"/>
        <w:spacing w:after="0" w:line="287" w:lineRule="auto"/>
        <w:tabs>
          <w:tab w:leader="none" w:pos="2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a buy-back program to be authorized by the shareholders in accordance with the provisions of Article L. 22-10-62 of the French Commercial Code and in accordance with the general regulations of, and market practices accepted by the AMF.</w:t>
      </w:r>
    </w:p>
    <w:p>
      <w:pPr>
        <w:spacing w:after="0" w:line="124" w:lineRule="exact"/>
        <w:rPr>
          <w:sz w:val="20"/>
          <w:szCs w:val="20"/>
          <w:color w:val="auto"/>
        </w:rPr>
      </w:pPr>
    </w:p>
    <w:p>
      <w:pPr>
        <w:ind w:left="1320" w:right="319"/>
        <w:spacing w:after="0" w:line="287" w:lineRule="auto"/>
        <w:rPr>
          <w:sz w:val="20"/>
          <w:szCs w:val="20"/>
          <w:color w:val="auto"/>
        </w:rPr>
      </w:pPr>
      <w:r>
        <w:rPr>
          <w:rFonts w:ascii="Times New Roman" w:cs="Times New Roman" w:eastAsia="Times New Roman" w:hAnsi="Times New Roman"/>
          <w:sz w:val="14"/>
          <w:szCs w:val="14"/>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122" w:lineRule="exact"/>
        <w:rPr>
          <w:sz w:val="20"/>
          <w:szCs w:val="20"/>
          <w:color w:val="auto"/>
        </w:rPr>
      </w:pPr>
    </w:p>
    <w:p>
      <w:pPr>
        <w:ind w:left="1320" w:right="199"/>
        <w:spacing w:after="0" w:line="265" w:lineRule="auto"/>
        <w:rPr>
          <w:sz w:val="20"/>
          <w:szCs w:val="20"/>
          <w:color w:val="auto"/>
        </w:rPr>
      </w:pPr>
      <w:r>
        <w:rPr>
          <w:rFonts w:ascii="Times New Roman" w:cs="Times New Roman" w:eastAsia="Times New Roman" w:hAnsi="Times New Roman"/>
          <w:sz w:val="14"/>
          <w:szCs w:val="14"/>
          <w:color w:val="auto"/>
        </w:rPr>
        <w:t>Under MAR and in accordance with the general regulations (</w:t>
      </w:r>
      <w:r>
        <w:rPr>
          <w:rFonts w:ascii="Times New Roman" w:cs="Times New Roman" w:eastAsia="Times New Roman" w:hAnsi="Times New Roman"/>
          <w:sz w:val="14"/>
          <w:szCs w:val="14"/>
          <w:i w:val="1"/>
          <w:iCs w:val="1"/>
          <w:color w:val="auto"/>
        </w:rPr>
        <w:t>réglement général</w:t>
      </w:r>
      <w:r>
        <w:rPr>
          <w:rFonts w:ascii="Times New Roman" w:cs="Times New Roman" w:eastAsia="Times New Roman" w:hAnsi="Times New Roman"/>
          <w:sz w:val="14"/>
          <w:szCs w:val="14"/>
          <w:color w:val="auto"/>
        </w:rPr>
        <w:t>) of the AMF, or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40" w:lineRule="exact"/>
        <w:rPr>
          <w:sz w:val="20"/>
          <w:szCs w:val="20"/>
          <w:color w:val="auto"/>
        </w:rPr>
      </w:pPr>
    </w:p>
    <w:p>
      <w:pPr>
        <w:ind w:left="1320" w:right="419"/>
        <w:spacing w:after="0" w:line="270" w:lineRule="auto"/>
        <w:rPr>
          <w:sz w:val="20"/>
          <w:szCs w:val="20"/>
          <w:color w:val="auto"/>
        </w:rPr>
      </w:pPr>
      <w:r>
        <w:rPr>
          <w:rFonts w:ascii="Times New Roman" w:cs="Times New Roman" w:eastAsia="Times New Roman" w:hAnsi="Times New Roman"/>
          <w:sz w:val="14"/>
          <w:szCs w:val="14"/>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Ownership of Shares by Non-French Persons</w:t>
      </w:r>
    </w:p>
    <w:p>
      <w:pPr>
        <w:spacing w:after="0" w:line="94" w:lineRule="exact"/>
        <w:rPr>
          <w:sz w:val="20"/>
          <w:szCs w:val="20"/>
          <w:color w:val="auto"/>
        </w:rPr>
      </w:pPr>
    </w:p>
    <w:p>
      <w:pPr>
        <w:ind w:left="1320" w:right="219"/>
        <w:spacing w:after="0" w:line="265" w:lineRule="auto"/>
        <w:rPr>
          <w:sz w:val="20"/>
          <w:szCs w:val="20"/>
          <w:color w:val="auto"/>
        </w:rPr>
      </w:pPr>
      <w:r>
        <w:rPr>
          <w:rFonts w:ascii="Times New Roman" w:cs="Times New Roman" w:eastAsia="Times New Roman" w:hAnsi="Times New Roman"/>
          <w:sz w:val="14"/>
          <w:szCs w:val="14"/>
          <w:color w:val="auto"/>
        </w:rPr>
        <w:t>EU and non-EU residents are required to file an administrative notice (</w:t>
      </w:r>
      <w:r>
        <w:rPr>
          <w:rFonts w:ascii="Times New Roman" w:cs="Times New Roman" w:eastAsia="Times New Roman" w:hAnsi="Times New Roman"/>
          <w:sz w:val="14"/>
          <w:szCs w:val="14"/>
          <w:i w:val="1"/>
          <w:iCs w:val="1"/>
          <w:color w:val="auto"/>
        </w:rPr>
        <w:t>déclaration administrative</w:t>
      </w:r>
      <w:r>
        <w:rPr>
          <w:rFonts w:ascii="Times New Roman" w:cs="Times New Roman" w:eastAsia="Times New Roman" w:hAnsi="Times New Roman"/>
          <w:sz w:val="14"/>
          <w:szCs w:val="14"/>
          <w:color w:val="auto"/>
        </w:rPr>
        <w:t>)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w:t>
      </w:r>
    </w:p>
    <w:p>
      <w:pPr>
        <w:spacing w:after="0" w:line="65" w:lineRule="exact"/>
        <w:rPr>
          <w:sz w:val="20"/>
          <w:szCs w:val="20"/>
          <w:color w:val="auto"/>
        </w:rPr>
      </w:pPr>
    </w:p>
    <w:p>
      <w:pPr>
        <w:ind w:left="2080" w:right="279" w:hanging="340"/>
        <w:spacing w:after="0" w:line="287" w:lineRule="auto"/>
        <w:tabs>
          <w:tab w:leader="none" w:pos="2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carried out on our capital by a non-French resident provided that after the transaction the cumulative amount of the capital or the voting rights held by non-French residents exceeds 1/3 of our capital or voting rights;</w:t>
      </w:r>
    </w:p>
    <w:p>
      <w:pPr>
        <w:spacing w:after="0" w:line="49" w:lineRule="exact"/>
        <w:rPr>
          <w:rFonts w:ascii="Times New Roman" w:cs="Times New Roman" w:eastAsia="Times New Roman" w:hAnsi="Times New Roman"/>
          <w:sz w:val="14"/>
          <w:szCs w:val="14"/>
          <w:color w:val="auto"/>
        </w:rPr>
      </w:pPr>
    </w:p>
    <w:p>
      <w:pPr>
        <w:ind w:left="2080" w:right="479" w:hanging="340"/>
        <w:spacing w:after="0" w:line="287" w:lineRule="auto"/>
        <w:tabs>
          <w:tab w:leader="none" w:pos="2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mentioned above by a corporation incorporated under French law whose capital or voting rights are held for more than 33.33% by non-French residents;</w:t>
      </w:r>
    </w:p>
    <w:p>
      <w:pPr>
        <w:spacing w:after="0" w:line="49" w:lineRule="exact"/>
        <w:rPr>
          <w:rFonts w:ascii="Times New Roman" w:cs="Times New Roman" w:eastAsia="Times New Roman" w:hAnsi="Times New Roman"/>
          <w:sz w:val="14"/>
          <w:szCs w:val="14"/>
          <w:color w:val="auto"/>
        </w:rPr>
      </w:pPr>
    </w:p>
    <w:p>
      <w:pPr>
        <w:ind w:left="2080" w:right="399" w:hanging="340"/>
        <w:spacing w:after="0" w:line="287" w:lineRule="auto"/>
        <w:tabs>
          <w:tab w:leader="none" w:pos="2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carried out abroad resulting in a change of the controlling shareholder of a corporation incorporated under a foreign law that holds a shareholding or voting rights in us if our capital or voting rights are held for more than 33.33% by non-French residents;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and guarantees granted by the acquirer to us in amounts evidencing control over our financing; and</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right="379" w:hanging="340"/>
        <w:spacing w:after="0" w:line="287" w:lineRule="auto"/>
        <w:tabs>
          <w:tab w:leader="none" w:pos="2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patent licenses granted by an acquirer or management or technical assistance agreements with such acquirer that place us in a dependent position </w:t>
      </w:r>
      <w:r>
        <w:rPr>
          <w:rFonts w:ascii="Times New Roman" w:cs="Times New Roman" w:eastAsia="Times New Roman" w:hAnsi="Times New Roman"/>
          <w:sz w:val="14"/>
          <w:szCs w:val="14"/>
          <w:i w:val="1"/>
          <w:iCs w:val="1"/>
          <w:color w:val="auto"/>
        </w:rPr>
        <w:t>vis-à-vis</w:t>
      </w:r>
      <w:r>
        <w:rPr>
          <w:rFonts w:ascii="Times New Roman" w:cs="Times New Roman" w:eastAsia="Times New Roman" w:hAnsi="Times New Roman"/>
          <w:sz w:val="14"/>
          <w:szCs w:val="14"/>
          <w:color w:val="auto"/>
        </w:rPr>
        <w:t xml:space="preserve"> such party or its group.</w:t>
      </w:r>
    </w:p>
    <w:p>
      <w:pPr>
        <w:spacing w:after="0" w:line="122" w:lineRule="exact"/>
        <w:rPr>
          <w:sz w:val="20"/>
          <w:szCs w:val="20"/>
          <w:color w:val="auto"/>
        </w:rPr>
      </w:pPr>
    </w:p>
    <w:p>
      <w:pPr>
        <w:ind w:left="1320" w:right="239"/>
        <w:spacing w:after="0" w:line="262" w:lineRule="auto"/>
        <w:rPr>
          <w:sz w:val="20"/>
          <w:szCs w:val="20"/>
          <w:color w:val="auto"/>
        </w:rPr>
      </w:pPr>
      <w:r>
        <w:rPr>
          <w:rFonts w:ascii="Times New Roman" w:cs="Times New Roman" w:eastAsia="Times New Roman" w:hAnsi="Times New Roman"/>
          <w:sz w:val="14"/>
          <w:szCs w:val="14"/>
          <w:color w:val="auto"/>
        </w:rPr>
        <w:t>Non-French residents must file a declaration for statistical purposes with the Bank of France (</w:t>
      </w:r>
      <w:r>
        <w:rPr>
          <w:rFonts w:ascii="Times New Roman" w:cs="Times New Roman" w:eastAsia="Times New Roman" w:hAnsi="Times New Roman"/>
          <w:sz w:val="14"/>
          <w:szCs w:val="14"/>
          <w:i w:val="1"/>
          <w:iCs w:val="1"/>
          <w:color w:val="auto"/>
        </w:rPr>
        <w:t>Banque de France</w:t>
      </w:r>
      <w:r>
        <w:rPr>
          <w:rFonts w:ascii="Times New Roman" w:cs="Times New Roman" w:eastAsia="Times New Roman" w:hAnsi="Times New Roman"/>
          <w:sz w:val="14"/>
          <w:szCs w:val="14"/>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94" w:lineRule="exact"/>
        <w:rPr>
          <w:sz w:val="20"/>
          <w:szCs w:val="20"/>
          <w:color w:val="auto"/>
        </w:rPr>
      </w:pPr>
    </w:p>
    <w:p>
      <w:pPr>
        <w:jc w:val="both"/>
        <w:ind w:left="1320" w:right="319"/>
        <w:spacing w:after="0" w:line="261" w:lineRule="auto"/>
        <w:rPr>
          <w:sz w:val="20"/>
          <w:szCs w:val="20"/>
          <w:color w:val="auto"/>
        </w:rPr>
      </w:pPr>
      <w:r>
        <w:rPr>
          <w:rFonts w:ascii="Times New Roman" w:cs="Times New Roman" w:eastAsia="Times New Roman" w:hAnsi="Times New Roman"/>
          <w:sz w:val="14"/>
          <w:szCs w:val="14"/>
          <w:color w:val="auto"/>
        </w:rPr>
        <w:t xml:space="preserve">The laws applicable to French </w:t>
      </w:r>
      <w:r>
        <w:rPr>
          <w:rFonts w:ascii="Times New Roman" w:cs="Times New Roman" w:eastAsia="Times New Roman" w:hAnsi="Times New Roman"/>
          <w:sz w:val="14"/>
          <w:szCs w:val="14"/>
          <w:i w:val="1"/>
          <w:iCs w:val="1"/>
          <w:color w:val="auto"/>
        </w:rPr>
        <w:t>sociétés anonymes</w:t>
      </w:r>
      <w:r>
        <w:rPr>
          <w:rFonts w:ascii="Times New Roman" w:cs="Times New Roman" w:eastAsia="Times New Roman" w:hAnsi="Times New Roman"/>
          <w:sz w:val="14"/>
          <w:szCs w:val="14"/>
          <w:color w:val="auto"/>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the law under which many public companies in the United States are incorporated, relating to shareholders’ rights and protections.</w:t>
      </w:r>
    </w:p>
    <w:p>
      <w:pPr>
        <w:ind w:left="1320" w:right="459"/>
        <w:spacing w:after="0" w:line="266" w:lineRule="auto"/>
        <w:rPr>
          <w:sz w:val="20"/>
          <w:szCs w:val="20"/>
          <w:color w:val="auto"/>
        </w:rPr>
      </w:pPr>
      <w:r>
        <w:rPr>
          <w:rFonts w:ascii="Times New Roman" w:cs="Times New Roman" w:eastAsia="Times New Roman" w:hAnsi="Times New Roman"/>
          <w:sz w:val="14"/>
          <w:szCs w:val="14"/>
          <w:color w:val="auto"/>
        </w:rPr>
        <w:t>This summary is not intended to be a complete discussion of the respective rights, and it is qualified in its entirety by reference to Delaware law and French law.</w:t>
      </w:r>
    </w:p>
    <w:p>
      <w:pPr>
        <w:sectPr>
          <w:pgSz w:w="11900" w:h="16838" w:orient="portrait"/>
          <w:cols w:equalWidth="0" w:num="1">
            <w:col w:w="10159"/>
          </w:cols>
          <w:pgMar w:left="300" w:top="388" w:right="1440" w:bottom="1440" w:gutter="0" w:footer="0" w:header="0"/>
        </w:sectPr>
      </w:pP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Number of</w:t>
            </w:r>
          </w:p>
        </w:tc>
        <w:tc>
          <w:tcPr>
            <w:tcW w:w="260" w:type="dxa"/>
            <w:vAlign w:val="bottom"/>
          </w:tcPr>
          <w:p>
            <w:pPr>
              <w:spacing w:after="0"/>
              <w:rPr>
                <w:sz w:val="12"/>
                <w:szCs w:val="12"/>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FRANCE</w:t>
            </w:r>
          </w:p>
        </w:tc>
        <w:tc>
          <w:tcPr>
            <w:tcW w:w="0" w:type="dxa"/>
            <w:vAlign w:val="bottom"/>
          </w:tcPr>
          <w:p>
            <w:pPr>
              <w:spacing w:after="0"/>
              <w:rPr>
                <w:sz w:val="1"/>
                <w:szCs w:val="1"/>
                <w:color w:val="auto"/>
              </w:rPr>
            </w:pPr>
          </w:p>
        </w:tc>
      </w:tr>
      <w:tr>
        <w:trPr>
          <w:trHeight w:val="135"/>
        </w:trPr>
        <w:tc>
          <w:tcPr>
            <w:tcW w:w="10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7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 xml:space="preserve">Under French law,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must have at least three</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and may have up to 18 directors. The number of directors is fixed</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by or in the manner provided in the by-laws. The number of</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directors of each gender may not be less than 40%. In case a</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board of directors comprises up to eight members, the difference</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between the number of directors of each gender may not exceed</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two. Any appointment made in violation of this limit that is not</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remedied within six months of this appointment will be null and</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void and payment of directors’ compensation will be suspended.</w:t>
            </w:r>
          </w:p>
        </w:tc>
        <w:tc>
          <w:tcPr>
            <w:tcW w:w="0" w:type="dxa"/>
            <w:vAlign w:val="bottom"/>
          </w:tcPr>
          <w:p>
            <w:pPr>
              <w:spacing w:after="0"/>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Under French law, a corporation may prescribe qualifications for</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Qualifications</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directors under its by-laws. In addition, under French law,</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members of a board of directors may be legal entities, and such</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legal entities must designate an individual to represent them and</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 act on their behalf at meetings of the board of directors.</w:t>
            </w:r>
          </w:p>
        </w:tc>
        <w:tc>
          <w:tcPr>
            <w:tcW w:w="0" w:type="dxa"/>
            <w:vAlign w:val="bottom"/>
          </w:tcPr>
          <w:p>
            <w:pPr>
              <w:spacing w:after="0"/>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Removal of</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Under French law, directors may be removed from office, with or</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without cause, at any shareholders’ meeting without notice or</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justification, by a simple majority vote of the shareholders</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present and voting at the meeting in person or by proxy.</w:t>
            </w:r>
          </w:p>
        </w:tc>
        <w:tc>
          <w:tcPr>
            <w:tcW w:w="0" w:type="dxa"/>
            <w:vAlign w:val="bottom"/>
          </w:tcPr>
          <w:p>
            <w:pPr>
              <w:spacing w:after="0"/>
              <w:rPr>
                <w:sz w:val="1"/>
                <w:szCs w:val="1"/>
                <w:color w:val="auto"/>
              </w:rPr>
            </w:pPr>
          </w:p>
        </w:tc>
      </w:tr>
      <w:tr>
        <w:trPr>
          <w:trHeight w:val="456"/>
        </w:trPr>
        <w:tc>
          <w:tcPr>
            <w:tcW w:w="1060" w:type="dxa"/>
            <w:vAlign w:val="bottom"/>
          </w:tcPr>
          <w:p>
            <w:pPr>
              <w:spacing w:after="0"/>
              <w:rPr>
                <w:sz w:val="24"/>
                <w:szCs w:val="24"/>
                <w:color w:val="auto"/>
              </w:rPr>
            </w:pPr>
          </w:p>
        </w:tc>
        <w:tc>
          <w:tcPr>
            <w:tcW w:w="3960" w:type="dxa"/>
            <w:vAlign w:val="bottom"/>
            <w:gridSpan w:val="2"/>
          </w:tcPr>
          <w:p>
            <w:pPr>
              <w:ind w:left="320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2" w:lineRule="exact"/>
        <w:rPr>
          <w:sz w:val="20"/>
          <w:szCs w:val="20"/>
          <w:color w:val="auto"/>
        </w:rPr>
      </w:pPr>
    </w:p>
    <w:p>
      <w:pPr>
        <w:jc w:val="both"/>
        <w:ind w:right="299"/>
        <w:spacing w:after="0" w:line="261" w:lineRule="auto"/>
        <w:rPr>
          <w:sz w:val="20"/>
          <w:szCs w:val="20"/>
          <w:color w:val="auto"/>
        </w:rPr>
      </w:pPr>
      <w:r>
        <w:rPr>
          <w:rFonts w:ascii="Times New Roman" w:cs="Times New Roman" w:eastAsia="Times New Roman" w:hAnsi="Times New Roman"/>
          <w:sz w:val="14"/>
          <w:szCs w:val="14"/>
          <w:color w:val="auto"/>
        </w:rPr>
        <w:t>Under Delaware law, a corporation must have at least one director and the number of directors shall be fixed by or in the manner provided in the by-laws (unless specified in the certificate of incorporation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839"/>
        <w:spacing w:after="0" w:line="270" w:lineRule="auto"/>
        <w:rPr>
          <w:sz w:val="20"/>
          <w:szCs w:val="20"/>
          <w:color w:val="auto"/>
        </w:rPr>
      </w:pPr>
      <w:r>
        <w:rPr>
          <w:rFonts w:ascii="Times New Roman" w:cs="Times New Roman" w:eastAsia="Times New Roman" w:hAnsi="Times New Roman"/>
          <w:sz w:val="14"/>
          <w:szCs w:val="14"/>
          <w:color w:val="auto"/>
        </w:rPr>
        <w:t>Under Delaware law, a corporation may prescribe qualifications for directors under its certificate of incorporation or by-laws.</w:t>
      </w:r>
    </w:p>
    <w:p>
      <w:pPr>
        <w:spacing w:after="0" w:line="390" w:lineRule="exact"/>
        <w:rPr>
          <w:sz w:val="20"/>
          <w:szCs w:val="20"/>
          <w:color w:val="auto"/>
        </w:rPr>
      </w:pPr>
    </w:p>
    <w:p>
      <w:pPr>
        <w:ind w:right="199"/>
        <w:spacing w:after="0" w:line="261" w:lineRule="auto"/>
        <w:rPr>
          <w:sz w:val="20"/>
          <w:szCs w:val="20"/>
          <w:color w:val="auto"/>
        </w:rPr>
      </w:pPr>
      <w:r>
        <w:rPr>
          <w:rFonts w:ascii="Times New Roman" w:cs="Times New Roman" w:eastAsia="Times New Roman" w:hAnsi="Times New Roman"/>
          <w:sz w:val="14"/>
          <w:szCs w:val="14"/>
          <w:color w:val="auto"/>
        </w:rPr>
        <w:t>Under Delaware law, unless otherwise provided in the certificate of incorporation, directors may be removed from office, with or without cause, by a majority stockholder vote, though in the case of a corporation whose board is classified, shareholders may effect such removal only for cause.</w:t>
      </w:r>
    </w:p>
    <w:p>
      <w:pPr>
        <w:sectPr>
          <w:pgSz w:w="11900" w:h="16838" w:orient="portrait"/>
          <w:cols w:equalWidth="0" w:num="2">
            <w:col w:w="6340" w:space="180"/>
            <w:col w:w="3639"/>
          </w:cols>
          <w:pgMar w:left="300" w:top="388" w:right="1440"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22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Vacancies on</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Under French law, vacancies on the board of directors resulting</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the board of</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from death or a resignation, provided that at least three directors</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remain in office, may be filled by a majority of the remaining</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directors pending ratification by the shareholders by the next</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shareholders’ meeting.</w:t>
            </w: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Annual</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Under French law, the annual shareholders’ meeting shall be held</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at such place, on such date and at such time as decided each year</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Meeting</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by the board of directors and notified to the shareholders in the</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convening notice of the annual meeting, within six months after</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the close of the relevant fiscal year unless such period is</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extended by court order.</w:t>
            </w: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Under French law, shareholders’ meetings may be called by the</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Meeting</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board of directors or, failing that, by the statutory auditors, or by</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 court appointed agent or liquidator in certain circumstances, or</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by the majority shareholder in capital or voting rights following a</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public tender offer or exchange offer or the transfer of a</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controlling block on the date decided by the board of directors or</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the relevant person.</w:t>
            </w: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Notice of</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 meeting notice (</w:t>
            </w:r>
            <w:r>
              <w:rPr>
                <w:rFonts w:ascii="Times New Roman" w:cs="Times New Roman" w:eastAsia="Times New Roman" w:hAnsi="Times New Roman"/>
                <w:sz w:val="14"/>
                <w:szCs w:val="14"/>
                <w:i w:val="1"/>
                <w:iCs w:val="1"/>
                <w:color w:val="auto"/>
              </w:rPr>
              <w:t>avis de réunion</w:t>
            </w:r>
            <w:r>
              <w:rPr>
                <w:rFonts w:ascii="Times New Roman" w:cs="Times New Roman" w:eastAsia="Times New Roman" w:hAnsi="Times New Roman"/>
                <w:sz w:val="14"/>
                <w:szCs w:val="14"/>
                <w:color w:val="auto"/>
              </w:rPr>
              <w:t xml:space="preserve">) is published in the </w:t>
            </w:r>
            <w:r>
              <w:rPr>
                <w:rFonts w:ascii="Times New Roman" w:cs="Times New Roman" w:eastAsia="Times New Roman" w:hAnsi="Times New Roman"/>
                <w:sz w:val="14"/>
                <w:szCs w:val="14"/>
                <w:i w:val="1"/>
                <w:iCs w:val="1"/>
                <w:color w:val="auto"/>
              </w:rPr>
              <w:t>Bulletin</w:t>
            </w: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des annonces légales obligatoires</w:t>
            </w:r>
            <w:r>
              <w:rPr>
                <w:rFonts w:ascii="Times New Roman" w:cs="Times New Roman" w:eastAsia="Times New Roman" w:hAnsi="Times New Roman"/>
                <w:sz w:val="14"/>
                <w:szCs w:val="14"/>
                <w:color w:val="auto"/>
              </w:rPr>
              <w:t>, or BALO, at least 35 days</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Meetings</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prior to a meeting and made available on the website of the</w:t>
            </w:r>
          </w:p>
        </w:tc>
      </w:tr>
      <w:tr>
        <w:trPr>
          <w:trHeight w:val="168"/>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company at least 21 days prior to the meeting. Additionally, a</w:t>
            </w:r>
          </w:p>
        </w:tc>
      </w:tr>
      <w:tr>
        <w:trPr>
          <w:trHeight w:val="172"/>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convening notice (</w:t>
            </w:r>
            <w:r>
              <w:rPr>
                <w:rFonts w:ascii="Times New Roman" w:cs="Times New Roman" w:eastAsia="Times New Roman" w:hAnsi="Times New Roman"/>
                <w:sz w:val="14"/>
                <w:szCs w:val="14"/>
                <w:i w:val="1"/>
                <w:iCs w:val="1"/>
                <w:color w:val="auto"/>
              </w:rPr>
              <w:t>avis de convocation</w:t>
            </w:r>
            <w:r>
              <w:rPr>
                <w:rFonts w:ascii="Times New Roman" w:cs="Times New Roman" w:eastAsia="Times New Roman" w:hAnsi="Times New Roman"/>
                <w:sz w:val="14"/>
                <w:szCs w:val="14"/>
                <w:color w:val="auto"/>
              </w:rPr>
              <w:t>) is published at least 15</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days prior to the date of the meeting, in a legal announcement</w:t>
            </w:r>
          </w:p>
        </w:tc>
      </w:tr>
      <w:tr>
        <w:trPr>
          <w:trHeight w:val="168"/>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bulletin of the registered office department and in the BALO.</w:t>
            </w:r>
          </w:p>
        </w:tc>
      </w:tr>
      <w:tr>
        <w:trPr>
          <w:trHeight w:val="172"/>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Further, the holders of registered shares (</w:t>
            </w:r>
            <w:r>
              <w:rPr>
                <w:rFonts w:ascii="Times New Roman" w:cs="Times New Roman" w:eastAsia="Times New Roman" w:hAnsi="Times New Roman"/>
                <w:sz w:val="14"/>
                <w:szCs w:val="14"/>
                <w:i w:val="1"/>
                <w:iCs w:val="1"/>
                <w:color w:val="auto"/>
              </w:rPr>
              <w:t>actions nominatives</w:t>
            </w:r>
            <w:r>
              <w:rPr>
                <w:rFonts w:ascii="Times New Roman" w:cs="Times New Roman" w:eastAsia="Times New Roman" w:hAnsi="Times New Roman"/>
                <w:sz w:val="14"/>
                <w:szCs w:val="14"/>
                <w:color w:val="auto"/>
              </w:rPr>
              <w:t>) for</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at least a month at the time of the convening notice shall be</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summoned individually, by regular letter (or by registered letter</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if they request it and include an advance of expenses) sent to</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their last known address. This notice may also be transmitted by</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electronic means of telecommunication, in lieu of any such</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mailing, to any shareholder requesting it beforehand by</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registered letter with acknowledgment of receipt in accordance</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with legal and regulatory requirements, specifying his e-mail</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address.</w:t>
            </w:r>
          </w:p>
        </w:tc>
      </w:tr>
      <w:tr>
        <w:trPr>
          <w:trHeight w:val="286"/>
        </w:trPr>
        <w:tc>
          <w:tcPr>
            <w:tcW w:w="1040" w:type="dxa"/>
            <w:vAlign w:val="bottom"/>
          </w:tcPr>
          <w:p>
            <w:pPr>
              <w:spacing w:after="0"/>
              <w:rPr>
                <w:sz w:val="24"/>
                <w:szCs w:val="24"/>
                <w:color w:val="auto"/>
              </w:rPr>
            </w:pPr>
          </w:p>
        </w:tc>
        <w:tc>
          <w:tcPr>
            <w:tcW w:w="3980" w:type="dxa"/>
            <w:vAlign w:val="bottom"/>
            <w:gridSpan w:val="2"/>
          </w:tcPr>
          <w:p>
            <w:pPr>
              <w:ind w:left="3220"/>
              <w:spacing w:after="0"/>
              <w:rPr>
                <w:sz w:val="20"/>
                <w:szCs w:val="20"/>
                <w:color w:val="auto"/>
              </w:rPr>
            </w:pPr>
            <w:r>
              <w:rPr>
                <w:rFonts w:ascii="Times New Roman" w:cs="Times New Roman" w:eastAsia="Times New Roman" w:hAnsi="Times New Roman"/>
                <w:sz w:val="14"/>
                <w:szCs w:val="14"/>
                <w:color w:val="auto"/>
              </w:rPr>
              <w:t>25</w:t>
            </w:r>
          </w:p>
        </w:tc>
      </w:tr>
    </w:tbl>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70"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4"/>
          <w:szCs w:val="14"/>
          <w:color w:val="auto"/>
        </w:rPr>
        <w:t>Under Delaware law, vacancies on a corporation’s board of directors, including those caused by an increase in the number of directors, unless otherwise provided in the certificate of incorporation, may be filled by the board of directors or other governing body.</w:t>
      </w:r>
    </w:p>
    <w:p>
      <w:pPr>
        <w:spacing w:after="0" w:line="58" w:lineRule="exact"/>
        <w:rPr>
          <w:sz w:val="20"/>
          <w:szCs w:val="20"/>
          <w:color w:val="auto"/>
        </w:rPr>
      </w:pPr>
    </w:p>
    <w:p>
      <w:pPr>
        <w:ind w:right="239"/>
        <w:spacing w:after="0" w:line="261" w:lineRule="auto"/>
        <w:rPr>
          <w:sz w:val="20"/>
          <w:szCs w:val="20"/>
          <w:color w:val="auto"/>
        </w:rPr>
      </w:pPr>
      <w:r>
        <w:rPr>
          <w:rFonts w:ascii="Times New Roman" w:cs="Times New Roman" w:eastAsia="Times New Roman" w:hAnsi="Times New Roman"/>
          <w:sz w:val="14"/>
          <w:szCs w:val="14"/>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28" w:lineRule="exact"/>
        <w:rPr>
          <w:sz w:val="20"/>
          <w:szCs w:val="20"/>
          <w:color w:val="auto"/>
        </w:rPr>
      </w:pPr>
    </w:p>
    <w:p>
      <w:pPr>
        <w:ind w:right="239"/>
        <w:spacing w:after="0" w:line="264" w:lineRule="auto"/>
        <w:rPr>
          <w:sz w:val="20"/>
          <w:szCs w:val="20"/>
          <w:color w:val="auto"/>
        </w:rPr>
      </w:pPr>
      <w:r>
        <w:rPr>
          <w:rFonts w:ascii="Times New Roman" w:cs="Times New Roman" w:eastAsia="Times New Roman" w:hAnsi="Times New Roman"/>
          <w:sz w:val="14"/>
          <w:szCs w:val="14"/>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365" w:lineRule="exact"/>
        <w:rPr>
          <w:sz w:val="20"/>
          <w:szCs w:val="20"/>
          <w:color w:val="auto"/>
        </w:rPr>
      </w:pPr>
    </w:p>
    <w:p>
      <w:pPr>
        <w:ind w:right="219"/>
        <w:spacing w:after="0" w:line="256" w:lineRule="auto"/>
        <w:rPr>
          <w:sz w:val="20"/>
          <w:szCs w:val="20"/>
          <w:color w:val="auto"/>
        </w:rPr>
      </w:pPr>
      <w:r>
        <w:rPr>
          <w:rFonts w:ascii="Times New Roman" w:cs="Times New Roman" w:eastAsia="Times New Roman" w:hAnsi="Times New Roman"/>
          <w:sz w:val="14"/>
          <w:szCs w:val="14"/>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the purpose or purposes of the meeting.</w:t>
      </w:r>
    </w:p>
    <w:p>
      <w:pPr>
        <w:sectPr>
          <w:pgSz w:w="11900" w:h="16838" w:orient="portrait"/>
          <w:cols w:equalWidth="0" w:num="2">
            <w:col w:w="6340" w:space="180"/>
            <w:col w:w="3639"/>
          </w:cols>
          <w:pgMar w:left="300" w:top="38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146"/>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The meeting notice must also indicate the conditions under</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which the shareholders may vote by correspondence, the places</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and conditions in which they can obtain voting forms, and as the</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case may be, the e-mail address to which they may send written</w:t>
            </w:r>
          </w:p>
        </w:tc>
      </w:tr>
      <w:tr>
        <w:trPr>
          <w:trHeight w:val="184"/>
        </w:trPr>
        <w:tc>
          <w:tcPr>
            <w:tcW w:w="1020" w:type="dxa"/>
            <w:vAlign w:val="bottom"/>
          </w:tcPr>
          <w:p>
            <w:pPr>
              <w:spacing w:after="0"/>
              <w:rPr>
                <w:sz w:val="16"/>
                <w:szCs w:val="16"/>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questions.</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Proxy</w:t>
            </w: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Each shareholder has the right to attend the meetings and</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participate in the discussions (i) personally, (ii) by granting proxy</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 any individual or legal entity of his choosing, (iii) by sending a</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proxy to the company without indication of the mandate (in</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which case such proxy shall be cast in favor of the resolutions</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supported by the board of directors), (iv) by voting by</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correspondence or (v) by videoconference or another means of</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telecommunication allowing identification in accordance with</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applicable laws. The proxy is only valid for a single meeting or</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for successive meetings convened with the same agenda. It can</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also be granted for two meetings, one ordinary the other</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extraordinary, held on the same day or within a period of 15</w:t>
            </w:r>
          </w:p>
        </w:tc>
      </w:tr>
      <w:tr>
        <w:trPr>
          <w:trHeight w:val="184"/>
        </w:trPr>
        <w:tc>
          <w:tcPr>
            <w:tcW w:w="1020" w:type="dxa"/>
            <w:vAlign w:val="bottom"/>
          </w:tcPr>
          <w:p>
            <w:pPr>
              <w:spacing w:after="0"/>
              <w:rPr>
                <w:sz w:val="16"/>
                <w:szCs w:val="16"/>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days.</w:t>
            </w: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Shareholder</w:t>
            </w: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Under French law, shareholders’ action by written consent is not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Action by</w:t>
            </w: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xml:space="preserve">permitted in a </w:t>
            </w:r>
            <w:r>
              <w:rPr>
                <w:rFonts w:ascii="Times New Roman" w:cs="Times New Roman" w:eastAsia="Times New Roman" w:hAnsi="Times New Roman"/>
                <w:sz w:val="14"/>
                <w:szCs w:val="14"/>
                <w:i w:val="1"/>
                <w:iCs w:val="1"/>
                <w:color w:val="auto"/>
              </w:rPr>
              <w:t>société anonyme.</w:t>
            </w: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Written</w:t>
            </w:r>
          </w:p>
        </w:tc>
        <w:tc>
          <w:tcPr>
            <w:tcW w:w="30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Consent</w:t>
            </w:r>
          </w:p>
        </w:tc>
        <w:tc>
          <w:tcPr>
            <w:tcW w:w="3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7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Preferential</w:t>
            </w: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Under French law, in case of issuance of additional shares or</w:t>
            </w: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Subscription</w:t>
            </w: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other securities for cash or set-off against cash debts, the existing</w:t>
            </w: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Rights</w:t>
            </w: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shareholders have preferential subscription rights to these</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securities on a pro rata basis unless such rights are waived by a</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two-thirds majority of the votes held by the shareholders present</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at the extraordinary meeting deciding or authorizing the capital</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increase, voting in person or represented by proxy or voting by</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mail. In case such rights are not waived by the extraordinary</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general meeting, each shareholder may individually either</w:t>
            </w:r>
          </w:p>
        </w:tc>
      </w:tr>
      <w:tr>
        <w:trPr>
          <w:trHeight w:val="170"/>
        </w:trPr>
        <w:tc>
          <w:tcPr>
            <w:tcW w:w="1020" w:type="dxa"/>
            <w:vAlign w:val="bottom"/>
          </w:tcPr>
          <w:p>
            <w:pPr>
              <w:spacing w:after="0"/>
              <w:rPr>
                <w:sz w:val="14"/>
                <w:szCs w:val="14"/>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exercise, assign or not exercise its preferential subscription</w:t>
            </w:r>
          </w:p>
        </w:tc>
      </w:tr>
      <w:tr>
        <w:trPr>
          <w:trHeight w:val="184"/>
        </w:trPr>
        <w:tc>
          <w:tcPr>
            <w:tcW w:w="1020" w:type="dxa"/>
            <w:vAlign w:val="bottom"/>
          </w:tcPr>
          <w:p>
            <w:pPr>
              <w:spacing w:after="0"/>
              <w:rPr>
                <w:sz w:val="16"/>
                <w:szCs w:val="16"/>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rights.</w:t>
            </w:r>
          </w:p>
        </w:tc>
      </w:tr>
      <w:tr>
        <w:trPr>
          <w:trHeight w:val="286"/>
        </w:trPr>
        <w:tc>
          <w:tcPr>
            <w:tcW w:w="1020" w:type="dxa"/>
            <w:vAlign w:val="bottom"/>
          </w:tcPr>
          <w:p>
            <w:pPr>
              <w:spacing w:after="0"/>
              <w:rPr>
                <w:sz w:val="24"/>
                <w:szCs w:val="24"/>
                <w:color w:val="auto"/>
              </w:rPr>
            </w:pPr>
          </w:p>
        </w:tc>
        <w:tc>
          <w:tcPr>
            <w:tcW w:w="4000" w:type="dxa"/>
            <w:vAlign w:val="bottom"/>
            <w:gridSpan w:val="2"/>
          </w:tcPr>
          <w:p>
            <w:pPr>
              <w:ind w:left="3240"/>
              <w:spacing w:after="0"/>
              <w:rPr>
                <w:sz w:val="20"/>
                <w:szCs w:val="20"/>
                <w:color w:val="auto"/>
              </w:rPr>
            </w:pPr>
            <w:r>
              <w:rPr>
                <w:rFonts w:ascii="Times New Roman" w:cs="Times New Roman" w:eastAsia="Times New Roman" w:hAnsi="Times New Roman"/>
                <w:sz w:val="14"/>
                <w:szCs w:val="14"/>
                <w:color w:val="auto"/>
              </w:rPr>
              <w:t>26</w:t>
            </w:r>
          </w:p>
        </w:tc>
      </w:tr>
    </w:tbl>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39"/>
        <w:spacing w:after="0" w:line="261" w:lineRule="auto"/>
        <w:rPr>
          <w:sz w:val="20"/>
          <w:szCs w:val="20"/>
          <w:color w:val="auto"/>
        </w:rPr>
      </w:pPr>
      <w:r>
        <w:rPr>
          <w:rFonts w:ascii="Times New Roman" w:cs="Times New Roman" w:eastAsia="Times New Roman" w:hAnsi="Times New Roman"/>
          <w:sz w:val="14"/>
          <w:szCs w:val="14"/>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59"/>
        <w:spacing w:after="0" w:line="258"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p>
      <w:pPr>
        <w:spacing w:after="0" w:line="62" w:lineRule="exact"/>
        <w:rPr>
          <w:sz w:val="20"/>
          <w:szCs w:val="20"/>
          <w:color w:val="auto"/>
        </w:rPr>
      </w:pPr>
    </w:p>
    <w:p>
      <w:pPr>
        <w:ind w:right="219"/>
        <w:spacing w:after="0" w:line="264" w:lineRule="auto"/>
        <w:rPr>
          <w:sz w:val="20"/>
          <w:szCs w:val="20"/>
          <w:color w:val="auto"/>
        </w:rPr>
      </w:pPr>
      <w:r>
        <w:rPr>
          <w:rFonts w:ascii="Times New Roman" w:cs="Times New Roman" w:eastAsia="Times New Roman" w:hAnsi="Times New Roman"/>
          <w:sz w:val="14"/>
          <w:szCs w:val="14"/>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6340" w:space="180"/>
            <w:col w:w="3639"/>
          </w:cols>
          <w:pgMar w:left="300" w:top="38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Sources of</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Under French law, dividends may only be paid by a French</w:t>
            </w: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société anonyme </w:t>
            </w:r>
            <w:r>
              <w:rPr>
                <w:rFonts w:ascii="Times New Roman" w:cs="Times New Roman" w:eastAsia="Times New Roman" w:hAnsi="Times New Roman"/>
                <w:sz w:val="14"/>
                <w:szCs w:val="14"/>
                <w:color w:val="auto"/>
              </w:rPr>
              <w:t>out of “distributable profits,” plus any</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distributable reserves and “distributable premium” that the</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shareholders decide to make available for distribution, other than</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those reserves that are specifically required by-law.</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“Distributable profits” consist of the unconsolidated net profits</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of the relevant corporation for each fiscal year, as increased or</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reduced by any profit or loss carried forward from prior years,</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minus the amounts to be set aside to the statutory reserve (at least</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 of the profit until the reserve has reached 10% of the amount</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of the share capital) and to the reserve set forth in the company’s</w:t>
            </w: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by-laws (if any).</w:t>
            </w:r>
          </w:p>
        </w:tc>
      </w:tr>
      <w:tr>
        <w:trPr>
          <w:trHeight w:val="251"/>
        </w:trPr>
        <w:tc>
          <w:tcPr>
            <w:tcW w:w="1060" w:type="dxa"/>
            <w:vAlign w:val="bottom"/>
          </w:tcPr>
          <w:p>
            <w:pPr>
              <w:spacing w:after="0"/>
              <w:rPr>
                <w:sz w:val="21"/>
                <w:szCs w:val="21"/>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“Distributable premium” refers to the contribution paid by the</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shareholders in addition to the par value of their shares for their</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subscription that the shareholders decide to make available for</w:t>
            </w: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distribution.</w:t>
            </w:r>
          </w:p>
        </w:tc>
      </w:tr>
      <w:tr>
        <w:trPr>
          <w:trHeight w:val="251"/>
        </w:trPr>
        <w:tc>
          <w:tcPr>
            <w:tcW w:w="1060" w:type="dxa"/>
            <w:vAlign w:val="bottom"/>
          </w:tcPr>
          <w:p>
            <w:pPr>
              <w:spacing w:after="0"/>
              <w:rPr>
                <w:sz w:val="21"/>
                <w:szCs w:val="21"/>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Except in the case of a share capital reduction, no distribution</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can be made to the shareholders when the net equity is, or would</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become, lower than the amount of the share capital plus the</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reserves which cannot be distributed in accordance with the law</w:t>
            </w: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or the by-laws.</w:t>
            </w:r>
          </w:p>
        </w:tc>
      </w:tr>
      <w:tr>
        <w:trPr>
          <w:trHeight w:val="25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Under French law, a corporation may acquire its own shares.</w:t>
            </w:r>
          </w:p>
        </w:tc>
      </w:tr>
      <w:tr>
        <w:trPr>
          <w:trHeight w:val="17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Such acquisition may be challenged on the ground of market</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abuse regulations. However, MAR provides for safe harbor</w:t>
            </w:r>
          </w:p>
        </w:tc>
      </w:tr>
      <w:tr>
        <w:trPr>
          <w:trHeight w:val="170"/>
        </w:trPr>
        <w:tc>
          <w:tcPr>
            <w:tcW w:w="1060" w:type="dxa"/>
            <w:vAlign w:val="bottom"/>
          </w:tcPr>
          <w:p>
            <w:pPr>
              <w:spacing w:after="0"/>
              <w:rPr>
                <w:sz w:val="14"/>
                <w:szCs w:val="14"/>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exemptions when the acquisition is made for the following</w:t>
            </w:r>
          </w:p>
        </w:tc>
      </w:tr>
      <w:tr>
        <w:trPr>
          <w:trHeight w:val="184"/>
        </w:trPr>
        <w:tc>
          <w:tcPr>
            <w:tcW w:w="106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purposes only:</w:t>
            </w:r>
          </w:p>
        </w:tc>
      </w:tr>
      <w:tr>
        <w:trPr>
          <w:trHeight w:val="251"/>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to decrease its share capital, provided that such</w:t>
            </w:r>
          </w:p>
        </w:tc>
      </w:tr>
      <w:tr>
        <w:trPr>
          <w:trHeight w:val="170"/>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decision is not driven by losses and that a purchase</w:t>
            </w:r>
          </w:p>
        </w:tc>
      </w:tr>
      <w:tr>
        <w:trPr>
          <w:trHeight w:val="170"/>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offer is made to all shareholders on a pro rata basis,</w:t>
            </w:r>
          </w:p>
        </w:tc>
      </w:tr>
      <w:tr>
        <w:trPr>
          <w:trHeight w:val="170"/>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with the approval of the shareholders at the</w:t>
            </w:r>
          </w:p>
        </w:tc>
      </w:tr>
      <w:tr>
        <w:trPr>
          <w:trHeight w:val="170"/>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extraordinary general meeting deciding the capital</w:t>
            </w:r>
          </w:p>
        </w:tc>
      </w:tr>
      <w:tr>
        <w:trPr>
          <w:trHeight w:val="170"/>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reduction; or to meet obligations arising from debt</w:t>
            </w:r>
          </w:p>
        </w:tc>
      </w:tr>
      <w:tr>
        <w:trPr>
          <w:trHeight w:val="170"/>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that are exchangeable into equity</w:t>
            </w:r>
          </w:p>
        </w:tc>
      </w:tr>
      <w:tr>
        <w:trPr>
          <w:trHeight w:val="184"/>
        </w:trPr>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instruments.</w:t>
            </w:r>
          </w:p>
        </w:tc>
      </w:tr>
      <w:tr>
        <w:trPr>
          <w:trHeight w:val="251"/>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with a view to distributing within one year of their</w:t>
            </w:r>
          </w:p>
        </w:tc>
      </w:tr>
      <w:tr>
        <w:trPr>
          <w:trHeight w:val="184"/>
        </w:trPr>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repurchase the relevant shares to employees or</w:t>
            </w:r>
          </w:p>
        </w:tc>
      </w:tr>
      <w:tr>
        <w:trPr>
          <w:trHeight w:val="286"/>
        </w:trPr>
        <w:tc>
          <w:tcPr>
            <w:tcW w:w="1060" w:type="dxa"/>
            <w:vAlign w:val="bottom"/>
          </w:tcPr>
          <w:p>
            <w:pPr>
              <w:spacing w:after="0"/>
              <w:rPr>
                <w:sz w:val="24"/>
                <w:szCs w:val="24"/>
                <w:color w:val="auto"/>
              </w:rPr>
            </w:pPr>
          </w:p>
        </w:tc>
        <w:tc>
          <w:tcPr>
            <w:tcW w:w="3960" w:type="dxa"/>
            <w:vAlign w:val="bottom"/>
            <w:gridSpan w:val="2"/>
          </w:tcPr>
          <w:p>
            <w:pPr>
              <w:ind w:left="3200"/>
              <w:spacing w:after="0"/>
              <w:rPr>
                <w:sz w:val="20"/>
                <w:szCs w:val="20"/>
                <w:color w:val="auto"/>
              </w:rPr>
            </w:pPr>
            <w:r>
              <w:rPr>
                <w:rFonts w:ascii="Times New Roman" w:cs="Times New Roman" w:eastAsia="Times New Roman" w:hAnsi="Times New Roman"/>
                <w:sz w:val="14"/>
                <w:szCs w:val="14"/>
                <w:color w:val="auto"/>
              </w:rPr>
              <w:t>27</w:t>
            </w:r>
          </w:p>
        </w:tc>
      </w:tr>
    </w:tbl>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70" w:lineRule="exact"/>
        <w:rPr>
          <w:sz w:val="20"/>
          <w:szCs w:val="20"/>
          <w:color w:val="auto"/>
        </w:rPr>
      </w:pPr>
    </w:p>
    <w:p>
      <w:pPr>
        <w:ind w:right="199"/>
        <w:spacing w:after="0" w:line="256" w:lineRule="auto"/>
        <w:rPr>
          <w:sz w:val="20"/>
          <w:szCs w:val="20"/>
          <w:color w:val="auto"/>
        </w:rPr>
      </w:pPr>
      <w:r>
        <w:rPr>
          <w:rFonts w:ascii="Times New Roman" w:cs="Times New Roman" w:eastAsia="Times New Roman" w:hAnsi="Times New Roman"/>
          <w:sz w:val="14"/>
          <w:szCs w:val="14"/>
          <w:color w:val="auto"/>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19"/>
        <w:spacing w:after="0" w:line="264" w:lineRule="auto"/>
        <w:rPr>
          <w:sz w:val="20"/>
          <w:szCs w:val="20"/>
          <w:color w:val="auto"/>
        </w:rPr>
      </w:pPr>
      <w:r>
        <w:rPr>
          <w:rFonts w:ascii="Times New Roman" w:cs="Times New Roman" w:eastAsia="Times New Roman" w:hAnsi="Times New Roman"/>
          <w:sz w:val="14"/>
          <w:szCs w:val="14"/>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2">
            <w:col w:w="6340" w:space="180"/>
            <w:col w:w="3639"/>
          </w:cols>
          <w:pgMar w:left="300" w:top="38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146"/>
        </w:trPr>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managers under a profit-sharing, free share or share option plan;</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or</w:t>
            </w:r>
          </w:p>
        </w:tc>
      </w:tr>
      <w:tr>
        <w:trPr>
          <w:trHeight w:val="251"/>
        </w:trPr>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under a buy-back program to be authorized by the</w:t>
            </w:r>
          </w:p>
        </w:tc>
      </w:tr>
      <w:tr>
        <w:trPr>
          <w:trHeight w:val="170"/>
        </w:trPr>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shareholders in accordance with the provisions of</w:t>
            </w:r>
          </w:p>
        </w:tc>
      </w:tr>
      <w:tr>
        <w:trPr>
          <w:trHeight w:val="170"/>
        </w:trPr>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Article L. 22-10-62 of the French Commercial Code</w:t>
            </w:r>
          </w:p>
        </w:tc>
      </w:tr>
      <w:tr>
        <w:trPr>
          <w:trHeight w:val="170"/>
        </w:trPr>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and in accordance with the general regulations of the</w:t>
            </w:r>
          </w:p>
        </w:tc>
      </w:tr>
      <w:tr>
        <w:trPr>
          <w:trHeight w:val="184"/>
        </w:trPr>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AMF.</w:t>
            </w:r>
          </w:p>
        </w:tc>
      </w:tr>
      <w:tr>
        <w:trPr>
          <w:trHeight w:val="251"/>
        </w:trPr>
        <w:tc>
          <w:tcPr>
            <w:tcW w:w="1040" w:type="dxa"/>
            <w:vAlign w:val="bottom"/>
          </w:tcPr>
          <w:p>
            <w:pPr>
              <w:spacing w:after="0"/>
              <w:rPr>
                <w:sz w:val="21"/>
                <w:szCs w:val="21"/>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All other purposes, and especially share buy-backs for external</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growth operations by virtue of Article L. 22-10-62 of the French</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Commercial Code, while not forbidden, must be pursued in strict</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compliance of market manipulations and insider dealing rules.</w:t>
            </w:r>
          </w:p>
        </w:tc>
      </w:tr>
      <w:tr>
        <w:trPr>
          <w:trHeight w:val="251"/>
        </w:trPr>
        <w:tc>
          <w:tcPr>
            <w:tcW w:w="1040" w:type="dxa"/>
            <w:vAlign w:val="bottom"/>
          </w:tcPr>
          <w:p>
            <w:pPr>
              <w:spacing w:after="0"/>
              <w:rPr>
                <w:sz w:val="21"/>
                <w:szCs w:val="21"/>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No such repurchase of shares may result in the company holding,</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directly or through a person acting on its behalf, more than 10%</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of its issued share capital.</w:t>
            </w:r>
          </w:p>
        </w:tc>
      </w:tr>
      <w:tr>
        <w:trPr>
          <w:trHeight w:val="251"/>
        </w:trPr>
        <w:tc>
          <w:tcPr>
            <w:tcW w:w="1040" w:type="dxa"/>
            <w:vAlign w:val="bottom"/>
          </w:tcPr>
          <w:p>
            <w:pPr>
              <w:spacing w:after="0"/>
              <w:rPr>
                <w:sz w:val="21"/>
                <w:szCs w:val="21"/>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Under MAR and in accordance with the General Regulations, a</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corporation shall report to the competent authority of the trading</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venue on which the shares have been admitted to trading or are</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traded, no later than by the end of the seventh daily market</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session following the date of the execution of the transaction, all</w:t>
            </w:r>
          </w:p>
        </w:tc>
      </w:tr>
      <w:tr>
        <w:trPr>
          <w:trHeight w:val="170"/>
        </w:trPr>
        <w:tc>
          <w:tcPr>
            <w:tcW w:w="1040" w:type="dxa"/>
            <w:vAlign w:val="bottom"/>
          </w:tcPr>
          <w:p>
            <w:pPr>
              <w:spacing w:after="0"/>
              <w:rPr>
                <w:sz w:val="14"/>
                <w:szCs w:val="14"/>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the transactions relating to the buy-back program, in a detailed</w:t>
            </w:r>
          </w:p>
        </w:tc>
      </w:tr>
      <w:tr>
        <w:trPr>
          <w:trHeight w:val="184"/>
        </w:trPr>
        <w:tc>
          <w:tcPr>
            <w:tcW w:w="1040" w:type="dxa"/>
            <w:vAlign w:val="bottom"/>
          </w:tcPr>
          <w:p>
            <w:pPr>
              <w:spacing w:after="0"/>
              <w:rPr>
                <w:sz w:val="16"/>
                <w:szCs w:val="16"/>
                <w:color w:val="auto"/>
              </w:rPr>
            </w:pP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form and in an aggregated form.</w:t>
            </w: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Liability of</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Under French law, the by-laws may not include any provisions</w:t>
            </w:r>
          </w:p>
        </w:tc>
      </w:tr>
      <w:tr>
        <w:trPr>
          <w:trHeight w:val="17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Directors and</w:t>
            </w:r>
          </w:p>
        </w:tc>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limiting the liability of directors.</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Officers</w:t>
            </w:r>
          </w:p>
        </w:tc>
        <w:tc>
          <w:tcPr>
            <w:tcW w:w="280" w:type="dxa"/>
            <w:vAlign w:val="bottom"/>
          </w:tcPr>
          <w:p>
            <w:pPr>
              <w:spacing w:after="0"/>
              <w:rPr>
                <w:sz w:val="16"/>
                <w:szCs w:val="16"/>
                <w:color w:val="auto"/>
              </w:rPr>
            </w:pPr>
          </w:p>
        </w:tc>
        <w:tc>
          <w:tcPr>
            <w:tcW w:w="37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99"/>
        <w:spacing w:after="0" w:line="259"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may include a provision eliminating or limiting the personal liability of a director or officer to the corporation and its stockholders for damages arising from a breach of fiduciary duty as a director or officer. However, no provision can limit the liability of a director or officer for:</w:t>
      </w:r>
    </w:p>
    <w:p>
      <w:pPr>
        <w:spacing w:after="0" w:line="72" w:lineRule="exact"/>
        <w:rPr>
          <w:sz w:val="20"/>
          <w:szCs w:val="20"/>
          <w:color w:val="auto"/>
        </w:rPr>
      </w:pPr>
    </w:p>
    <w:p>
      <w:pPr>
        <w:ind w:left="560" w:right="299" w:hanging="212"/>
        <w:spacing w:after="0" w:line="287" w:lineRule="auto"/>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the corporation or its stockholders;</w:t>
      </w:r>
    </w:p>
    <w:p>
      <w:pPr>
        <w:spacing w:after="0" w:line="49" w:lineRule="exact"/>
        <w:rPr>
          <w:rFonts w:ascii="Times New Roman" w:cs="Times New Roman" w:eastAsia="Times New Roman" w:hAnsi="Times New Roman"/>
          <w:sz w:val="14"/>
          <w:szCs w:val="14"/>
          <w:color w:val="auto"/>
        </w:rPr>
      </w:pPr>
    </w:p>
    <w:p>
      <w:pPr>
        <w:jc w:val="both"/>
        <w:ind w:left="560" w:right="279" w:hanging="212"/>
        <w:spacing w:after="0" w:line="270" w:lineRule="auto"/>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61" w:lineRule="exact"/>
        <w:rPr>
          <w:rFonts w:ascii="Times New Roman" w:cs="Times New Roman" w:eastAsia="Times New Roman" w:hAnsi="Times New Roman"/>
          <w:sz w:val="14"/>
          <w:szCs w:val="14"/>
          <w:color w:val="auto"/>
        </w:rPr>
      </w:pPr>
    </w:p>
    <w:p>
      <w:pPr>
        <w:jc w:val="both"/>
        <w:ind w:left="560" w:right="519" w:hanging="212"/>
        <w:spacing w:after="0" w:line="287" w:lineRule="auto"/>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 or negligent payment of unlawful dividends or stock purchases or redemptions;</w:t>
      </w:r>
    </w:p>
    <w:p>
      <w:pPr>
        <w:sectPr>
          <w:pgSz w:w="11900" w:h="16838" w:orient="portrait"/>
          <w:cols w:equalWidth="0" w:num="2">
            <w:col w:w="6340" w:space="180"/>
            <w:col w:w="3639"/>
          </w:cols>
          <w:pgMar w:left="300" w:top="38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1"/>
          <w:szCs w:val="11"/>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12700</wp:posOffset>
            </wp:positionV>
            <wp:extent cx="23577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Voting Rights</w:t>
      </w:r>
      <w:r>
        <w:rPr>
          <w:sz w:val="20"/>
          <w:szCs w:val="20"/>
          <w:color w:val="auto"/>
        </w:rPr>
        <w:tab/>
      </w:r>
      <w:r>
        <w:rPr>
          <w:rFonts w:ascii="Times New Roman" w:cs="Times New Roman" w:eastAsia="Times New Roman" w:hAnsi="Times New Roman"/>
          <w:sz w:val="14"/>
          <w:szCs w:val="14"/>
          <w:color w:val="auto"/>
        </w:rPr>
        <w:t>French law provides that, unless otherwise provided in the</w:t>
      </w:r>
    </w:p>
    <w:p>
      <w:pPr>
        <w:spacing w:after="0" w:line="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by-laws, each shareholder is entitled to one vote for each share of</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share capital held by such shareholder. Further, pursuant to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introduction of Law No. 2014-384 dated March 29, 2014</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Loi Florange</w:t>
      </w:r>
      <w:r>
        <w:rPr>
          <w:rFonts w:ascii="Times New Roman" w:cs="Times New Roman" w:eastAsia="Times New Roman" w:hAnsi="Times New Roman"/>
          <w:sz w:val="14"/>
          <w:szCs w:val="14"/>
          <w:color w:val="auto"/>
        </w:rPr>
        <w:t>), shares registered for more than two years in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name of the same shareholder are automatically be granted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double voting rights from 2016, unless the by-laws expressly</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reject this measure.</w:t>
      </w:r>
    </w:p>
    <w:p>
      <w:pPr>
        <w:spacing w:after="0" w:line="79"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Shareholder</w:t>
      </w:r>
      <w:r>
        <w:rPr>
          <w:sz w:val="20"/>
          <w:szCs w:val="20"/>
          <w:color w:val="auto"/>
        </w:rPr>
        <w:tab/>
      </w:r>
      <w:r>
        <w:rPr>
          <w:rFonts w:ascii="Times New Roman" w:cs="Times New Roman" w:eastAsia="Times New Roman" w:hAnsi="Times New Roman"/>
          <w:sz w:val="14"/>
          <w:szCs w:val="14"/>
          <w:color w:val="auto"/>
        </w:rPr>
        <w:t>Generally, under French law, completion of a merger, dissolution</w:t>
      </w:r>
    </w:p>
    <w:p>
      <w:pPr>
        <w:spacing w:after="0" w:line="23"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Vote on Certain</w:t>
      </w:r>
      <w:r>
        <w:rPr>
          <w:sz w:val="20"/>
          <w:szCs w:val="20"/>
          <w:color w:val="auto"/>
        </w:rPr>
        <w:tab/>
      </w:r>
      <w:r>
        <w:rPr>
          <w:rFonts w:ascii="Times New Roman" w:cs="Times New Roman" w:eastAsia="Times New Roman" w:hAnsi="Times New Roman"/>
          <w:sz w:val="14"/>
          <w:szCs w:val="14"/>
          <w:color w:val="auto"/>
        </w:rPr>
        <w:t>or sale or exchange of all or substantially all of a corporation’s</w:t>
      </w:r>
    </w:p>
    <w:p>
      <w:pPr>
        <w:spacing w:after="0" w:line="9"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Transactions</w:t>
      </w:r>
      <w:r>
        <w:rPr>
          <w:sz w:val="20"/>
          <w:szCs w:val="20"/>
          <w:color w:val="auto"/>
        </w:rPr>
        <w:tab/>
      </w:r>
      <w:r>
        <w:rPr>
          <w:rFonts w:ascii="Times New Roman" w:cs="Times New Roman" w:eastAsia="Times New Roman" w:hAnsi="Times New Roman"/>
          <w:sz w:val="14"/>
          <w:szCs w:val="14"/>
          <w:color w:val="auto"/>
        </w:rPr>
        <w:t>assets (</w:t>
      </w:r>
      <w:r>
        <w:rPr>
          <w:rFonts w:ascii="Times New Roman" w:cs="Times New Roman" w:eastAsia="Times New Roman" w:hAnsi="Times New Roman"/>
          <w:sz w:val="14"/>
          <w:szCs w:val="14"/>
          <w:i w:val="1"/>
          <w:iCs w:val="1"/>
          <w:color w:val="auto"/>
        </w:rPr>
        <w:t>apport partiel d’actifs</w:t>
      </w:r>
      <w:r>
        <w:rPr>
          <w:rFonts w:ascii="Times New Roman" w:cs="Times New Roman" w:eastAsia="Times New Roman" w:hAnsi="Times New Roman"/>
          <w:sz w:val="14"/>
          <w:szCs w:val="14"/>
          <w:color w:val="auto"/>
        </w:rPr>
        <w:t>) requires:</w:t>
      </w:r>
    </w:p>
    <w:p>
      <w:pPr>
        <w:spacing w:after="0" w:line="90" w:lineRule="exact"/>
        <w:rPr>
          <w:sz w:val="20"/>
          <w:szCs w:val="20"/>
          <w:color w:val="auto"/>
        </w:rPr>
      </w:pPr>
    </w:p>
    <w:p>
      <w:pPr>
        <w:ind w:left="2980"/>
        <w:spacing w:after="0"/>
        <w:tabs>
          <w:tab w:leader="none" w:pos="3180" w:val="left"/>
        </w:tabs>
        <w:rPr>
          <w:sz w:val="20"/>
          <w:szCs w:val="20"/>
          <w:color w:val="auto"/>
        </w:rPr>
      </w:pPr>
      <w:r>
        <w:rPr>
          <w:rFonts w:ascii="Times New Roman" w:cs="Times New Roman" w:eastAsia="Times New Roman" w:hAnsi="Times New Roman"/>
          <w:sz w:val="14"/>
          <w:szCs w:val="14"/>
          <w:color w:val="auto"/>
        </w:rPr>
        <w:t>•</w:t>
        <w:tab/>
        <w:t>the approval of the board of directors; and</w:t>
      </w:r>
    </w:p>
    <w:p>
      <w:pPr>
        <w:spacing w:after="0" w:line="104" w:lineRule="exact"/>
        <w:rPr>
          <w:sz w:val="20"/>
          <w:szCs w:val="20"/>
          <w:color w:val="auto"/>
        </w:rPr>
      </w:pPr>
    </w:p>
    <w:p>
      <w:pPr>
        <w:ind w:left="2980"/>
        <w:spacing w:after="0"/>
        <w:tabs>
          <w:tab w:leader="none" w:pos="3180" w:val="left"/>
        </w:tabs>
        <w:rPr>
          <w:sz w:val="20"/>
          <w:szCs w:val="20"/>
          <w:color w:val="auto"/>
        </w:rPr>
      </w:pPr>
      <w:r>
        <w:rPr>
          <w:rFonts w:ascii="Times New Roman" w:cs="Times New Roman" w:eastAsia="Times New Roman" w:hAnsi="Times New Roman"/>
          <w:sz w:val="14"/>
          <w:szCs w:val="14"/>
          <w:color w:val="auto"/>
        </w:rPr>
        <w:t>•</w:t>
        <w:tab/>
        <w:t>approval by a two-thirds majority of the votes held by</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the shareholders present, represented by proxy 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voting by mail at the relevant meeting or, in the case of</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a merger with a non-EU company, approval of all</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shareholders of the corporation.</w:t>
      </w:r>
    </w:p>
    <w:p>
      <w:pPr>
        <w:spacing w:after="0" w:line="200" w:lineRule="exact"/>
        <w:rPr>
          <w:sz w:val="20"/>
          <w:szCs w:val="20"/>
          <w:color w:val="auto"/>
        </w:rPr>
      </w:pPr>
    </w:p>
    <w:p>
      <w:pPr>
        <w:spacing w:after="0" w:line="389"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Dissent or</w:t>
      </w:r>
      <w:r>
        <w:rPr>
          <w:sz w:val="20"/>
          <w:szCs w:val="20"/>
          <w:color w:val="auto"/>
        </w:rPr>
        <w:tab/>
      </w:r>
      <w:r>
        <w:rPr>
          <w:rFonts w:ascii="Times New Roman" w:cs="Times New Roman" w:eastAsia="Times New Roman" w:hAnsi="Times New Roman"/>
          <w:sz w:val="14"/>
          <w:szCs w:val="14"/>
          <w:color w:val="auto"/>
        </w:rPr>
        <w:t>French law does not provide for any such right but provides that</w:t>
      </w:r>
    </w:p>
    <w:p>
      <w:pPr>
        <w:spacing w:after="0" w:line="23"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Dissenters</w:t>
      </w:r>
      <w:r>
        <w:rPr>
          <w:sz w:val="20"/>
          <w:szCs w:val="20"/>
          <w:color w:val="auto"/>
        </w:rPr>
        <w:tab/>
      </w:r>
      <w:r>
        <w:rPr>
          <w:rFonts w:ascii="Times New Roman" w:cs="Times New Roman" w:eastAsia="Times New Roman" w:hAnsi="Times New Roman"/>
          <w:sz w:val="14"/>
          <w:szCs w:val="14"/>
          <w:color w:val="auto"/>
        </w:rPr>
        <w:t>a merger is subject to shareholders’ approval by a two-thirds</w:t>
      </w:r>
    </w:p>
    <w:p>
      <w:pPr>
        <w:spacing w:after="0" w:line="9"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Appraisal</w:t>
      </w:r>
      <w:r>
        <w:rPr>
          <w:sz w:val="20"/>
          <w:szCs w:val="20"/>
          <w:color w:val="auto"/>
        </w:rPr>
        <w:tab/>
      </w:r>
      <w:r>
        <w:rPr>
          <w:rFonts w:ascii="Times New Roman" w:cs="Times New Roman" w:eastAsia="Times New Roman" w:hAnsi="Times New Roman"/>
          <w:sz w:val="14"/>
          <w:szCs w:val="14"/>
          <w:color w:val="auto"/>
        </w:rPr>
        <w:t>majority vote, as stated above.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92" w:lineRule="exact"/>
        <w:rPr>
          <w:sz w:val="20"/>
          <w:szCs w:val="20"/>
          <w:color w:val="auto"/>
        </w:rPr>
      </w:pPr>
    </w:p>
    <w:p>
      <w:pPr>
        <w:ind w:left="560" w:right="179" w:hanging="212"/>
        <w:spacing w:after="0" w:line="270" w:lineRule="auto"/>
        <w:tabs>
          <w:tab w:leader="none" w:pos="5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approving and transaction from which the director or officer derives an improper personal benefit; or</w:t>
      </w:r>
    </w:p>
    <w:p>
      <w:pPr>
        <w:spacing w:after="0" w:line="61" w:lineRule="exact"/>
        <w:rPr>
          <w:rFonts w:ascii="Times New Roman" w:cs="Times New Roman" w:eastAsia="Times New Roman" w:hAnsi="Times New Roman"/>
          <w:sz w:val="14"/>
          <w:szCs w:val="14"/>
          <w:color w:val="auto"/>
        </w:rPr>
      </w:pPr>
    </w:p>
    <w:p>
      <w:pPr>
        <w:ind w:left="560" w:right="419" w:hanging="212"/>
        <w:spacing w:after="0" w:line="287" w:lineRule="auto"/>
        <w:tabs>
          <w:tab w:leader="none" w:pos="5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the corporation.</w:t>
      </w:r>
    </w:p>
    <w:p>
      <w:pPr>
        <w:spacing w:after="0" w:line="39" w:lineRule="exact"/>
        <w:rPr>
          <w:sz w:val="20"/>
          <w:szCs w:val="20"/>
          <w:color w:val="auto"/>
        </w:rPr>
      </w:pPr>
    </w:p>
    <w:p>
      <w:pPr>
        <w:ind w:right="199"/>
        <w:spacing w:after="0" w:line="264" w:lineRule="auto"/>
        <w:rPr>
          <w:sz w:val="20"/>
          <w:szCs w:val="20"/>
          <w:color w:val="auto"/>
        </w:rPr>
      </w:pPr>
      <w:r>
        <w:rPr>
          <w:rFonts w:ascii="Times New Roman" w:cs="Times New Roman" w:eastAsia="Times New Roman" w:hAnsi="Times New Roman"/>
          <w:sz w:val="14"/>
          <w:szCs w:val="14"/>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79"/>
        <w:spacing w:after="0" w:line="261" w:lineRule="auto"/>
        <w:rPr>
          <w:sz w:val="20"/>
          <w:szCs w:val="20"/>
          <w:color w:val="auto"/>
        </w:rPr>
      </w:pPr>
      <w:r>
        <w:rPr>
          <w:rFonts w:ascii="Times New Roman" w:cs="Times New Roman" w:eastAsia="Times New Roman" w:hAnsi="Times New Roman"/>
          <w:sz w:val="14"/>
          <w:szCs w:val="14"/>
          <w:color w:val="auto"/>
        </w:rPr>
        <w:t>Generally, under Delaware law, unless the certificate of incorporation provides for the vote of a larger portion of shares, completion of a merger, consolidation, sale, lease or exchange of all or substantially all of a corporation’s assets or dissolution requires:</w:t>
      </w:r>
    </w:p>
    <w:p>
      <w:pPr>
        <w:spacing w:after="0" w:line="69" w:lineRule="exact"/>
        <w:rPr>
          <w:sz w:val="20"/>
          <w:szCs w:val="20"/>
          <w:color w:val="auto"/>
        </w:rPr>
      </w:pPr>
    </w:p>
    <w:p>
      <w:pPr>
        <w:ind w:left="560" w:hanging="212"/>
        <w:spacing w:after="0"/>
        <w:tabs>
          <w:tab w:leader="none" w:pos="5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the board of directors; and</w:t>
      </w:r>
    </w:p>
    <w:p>
      <w:pPr>
        <w:spacing w:after="0" w:line="104" w:lineRule="exact"/>
        <w:rPr>
          <w:rFonts w:ascii="Times New Roman" w:cs="Times New Roman" w:eastAsia="Times New Roman" w:hAnsi="Times New Roman"/>
          <w:sz w:val="14"/>
          <w:szCs w:val="14"/>
          <w:color w:val="auto"/>
        </w:rPr>
      </w:pPr>
    </w:p>
    <w:p>
      <w:pPr>
        <w:ind w:left="560" w:right="179" w:hanging="212"/>
        <w:spacing w:after="0" w:line="259" w:lineRule="auto"/>
        <w:tabs>
          <w:tab w:leader="none" w:pos="5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61" w:lineRule="exact"/>
        <w:rPr>
          <w:sz w:val="20"/>
          <w:szCs w:val="20"/>
          <w:color w:val="auto"/>
        </w:rPr>
      </w:pPr>
    </w:p>
    <w:p>
      <w:pPr>
        <w:ind w:right="199"/>
        <w:spacing w:after="0" w:line="256" w:lineRule="auto"/>
        <w:rPr>
          <w:sz w:val="20"/>
          <w:szCs w:val="20"/>
          <w:color w:val="auto"/>
        </w:rPr>
      </w:pPr>
      <w:r>
        <w:rPr>
          <w:rFonts w:ascii="Times New Roman" w:cs="Times New Roman" w:eastAsia="Times New Roman" w:hAnsi="Times New Roman"/>
          <w:sz w:val="14"/>
          <w:szCs w:val="14"/>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shares. Further, no appraisal rights are available for shares of any class or series that is listed on a national securities exchange or</w:t>
      </w:r>
    </w:p>
    <w:p>
      <w:pPr>
        <w:sectPr>
          <w:pgSz w:w="11900" w:h="16838" w:orient="portrait"/>
          <w:cols w:equalWidth="0" w:num="2">
            <w:col w:w="6340" w:space="180"/>
            <w:col w:w="3639"/>
          </w:cols>
          <w:pgMar w:left="300" w:top="38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1"/>
          <w:szCs w:val="11"/>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12700</wp:posOffset>
            </wp:positionV>
            <wp:extent cx="235775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Standard of</w:t>
      </w:r>
      <w:r>
        <w:rPr>
          <w:sz w:val="20"/>
          <w:szCs w:val="20"/>
          <w:color w:val="auto"/>
        </w:rPr>
        <w:tab/>
      </w:r>
      <w:r>
        <w:rPr>
          <w:rFonts w:ascii="Times New Roman" w:cs="Times New Roman" w:eastAsia="Times New Roman" w:hAnsi="Times New Roman"/>
          <w:sz w:val="14"/>
          <w:szCs w:val="14"/>
          <w:color w:val="auto"/>
        </w:rPr>
        <w:t>French law does not contain specific provisions setting forth the</w:t>
      </w:r>
    </w:p>
    <w:p>
      <w:pPr>
        <w:spacing w:after="0" w:line="23"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Conduct for</w:t>
      </w:r>
      <w:r>
        <w:rPr>
          <w:sz w:val="20"/>
          <w:szCs w:val="20"/>
          <w:color w:val="auto"/>
        </w:rPr>
        <w:tab/>
      </w:r>
      <w:r>
        <w:rPr>
          <w:rFonts w:ascii="Times New Roman" w:cs="Times New Roman" w:eastAsia="Times New Roman" w:hAnsi="Times New Roman"/>
          <w:sz w:val="14"/>
          <w:szCs w:val="14"/>
          <w:color w:val="auto"/>
        </w:rPr>
        <w:t>standard of conduct of a director. However, directors have a duty</w:t>
      </w:r>
    </w:p>
    <w:p>
      <w:pPr>
        <w:spacing w:after="0" w:line="9"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Directors</w:t>
      </w:r>
      <w:r>
        <w:rPr>
          <w:sz w:val="20"/>
          <w:szCs w:val="20"/>
          <w:color w:val="auto"/>
        </w:rPr>
        <w:tab/>
      </w:r>
      <w:r>
        <w:rPr>
          <w:rFonts w:ascii="Times New Roman" w:cs="Times New Roman" w:eastAsia="Times New Roman" w:hAnsi="Times New Roman"/>
          <w:sz w:val="14"/>
          <w:szCs w:val="14"/>
          <w:color w:val="auto"/>
        </w:rPr>
        <w:t>to act without self-interest, on a well-informed basis, and not to</w:t>
      </w:r>
    </w:p>
    <w:p>
      <w:pPr>
        <w:spacing w:after="0" w:line="9" w:lineRule="exact"/>
        <w:rPr>
          <w:sz w:val="20"/>
          <w:szCs w:val="20"/>
          <w:color w:val="auto"/>
        </w:rPr>
      </w:pPr>
    </w:p>
    <w:p>
      <w:pPr>
        <w:ind w:left="2640" w:right="380"/>
        <w:spacing w:after="0" w:line="266" w:lineRule="auto"/>
        <w:rPr>
          <w:sz w:val="20"/>
          <w:szCs w:val="20"/>
          <w:color w:val="auto"/>
        </w:rPr>
      </w:pPr>
      <w:r>
        <w:rPr>
          <w:rFonts w:ascii="Times New Roman" w:cs="Times New Roman" w:eastAsia="Times New Roman" w:hAnsi="Times New Roman"/>
          <w:sz w:val="14"/>
          <w:szCs w:val="14"/>
          <w:color w:val="auto"/>
        </w:rPr>
        <w:t>take any decision against a corporation’s corporate interest (</w:t>
      </w:r>
      <w:r>
        <w:rPr>
          <w:rFonts w:ascii="Times New Roman" w:cs="Times New Roman" w:eastAsia="Times New Roman" w:hAnsi="Times New Roman"/>
          <w:sz w:val="14"/>
          <w:szCs w:val="14"/>
          <w:i w:val="1"/>
          <w:iCs w:val="1"/>
          <w:color w:val="auto"/>
        </w:rPr>
        <w:t>intérêt social</w:t>
      </w:r>
      <w:r>
        <w:rPr>
          <w:rFonts w:ascii="Times New Roman" w:cs="Times New Roman" w:eastAsia="Times New Roman" w:hAnsi="Times New Roman"/>
          <w:sz w:val="14"/>
          <w:szCs w:val="14"/>
          <w:color w:val="auto"/>
        </w:rPr>
        <w:t>).</w:t>
      </w:r>
    </w:p>
    <w:p>
      <w:pPr>
        <w:spacing w:after="0" w:line="393"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Shareholder</w:t>
      </w:r>
      <w:r>
        <w:rPr>
          <w:sz w:val="20"/>
          <w:szCs w:val="20"/>
          <w:color w:val="auto"/>
        </w:rPr>
        <w:tab/>
      </w:r>
      <w:r>
        <w:rPr>
          <w:rFonts w:ascii="Times New Roman" w:cs="Times New Roman" w:eastAsia="Times New Roman" w:hAnsi="Times New Roman"/>
          <w:sz w:val="14"/>
          <w:szCs w:val="14"/>
          <w:color w:val="auto"/>
        </w:rPr>
        <w:t>French law provides that a shareholder, or a group of</w:t>
      </w:r>
    </w:p>
    <w:p>
      <w:pPr>
        <w:spacing w:after="0" w:line="23"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Suits</w:t>
      </w:r>
      <w:r>
        <w:rPr>
          <w:sz w:val="20"/>
          <w:szCs w:val="20"/>
          <w:color w:val="auto"/>
        </w:rPr>
        <w:tab/>
      </w:r>
      <w:r>
        <w:rPr>
          <w:rFonts w:ascii="Times New Roman" w:cs="Times New Roman" w:eastAsia="Times New Roman" w:hAnsi="Times New Roman"/>
          <w:sz w:val="14"/>
          <w:szCs w:val="14"/>
          <w:color w:val="auto"/>
        </w:rPr>
        <w:t>shareholders, may initiate a legal action to seek indemnification</w:t>
      </w:r>
    </w:p>
    <w:p>
      <w:pPr>
        <w:spacing w:after="0" w:line="9" w:lineRule="exact"/>
        <w:rPr>
          <w:sz w:val="20"/>
          <w:szCs w:val="20"/>
          <w:color w:val="auto"/>
        </w:rPr>
      </w:pPr>
    </w:p>
    <w:p>
      <w:pPr>
        <w:ind w:left="2640" w:right="20"/>
        <w:spacing w:after="0" w:line="256" w:lineRule="auto"/>
        <w:rPr>
          <w:sz w:val="20"/>
          <w:szCs w:val="20"/>
          <w:color w:val="auto"/>
        </w:rPr>
      </w:pPr>
      <w:r>
        <w:rPr>
          <w:rFonts w:ascii="Times New Roman" w:cs="Times New Roman" w:eastAsia="Times New Roman" w:hAnsi="Times New Roman"/>
          <w:sz w:val="14"/>
          <w:szCs w:val="14"/>
          <w:color w:val="auto"/>
        </w:rPr>
        <w:t>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spacing w:after="0" w:line="71" w:lineRule="exact"/>
        <w:rPr>
          <w:sz w:val="20"/>
          <w:szCs w:val="20"/>
          <w:color w:val="auto"/>
        </w:rPr>
      </w:pPr>
    </w:p>
    <w:p>
      <w:pPr>
        <w:ind w:left="2640" w:right="100"/>
        <w:spacing w:after="0" w:line="287" w:lineRule="auto"/>
        <w:rPr>
          <w:sz w:val="20"/>
          <w:szCs w:val="20"/>
          <w:color w:val="auto"/>
        </w:rPr>
      </w:pPr>
      <w:r>
        <w:rPr>
          <w:rFonts w:ascii="Times New Roman" w:cs="Times New Roman" w:eastAsia="Times New Roman" w:hAnsi="Times New Roman"/>
          <w:sz w:val="14"/>
          <w:szCs w:val="14"/>
          <w:color w:val="auto"/>
        </w:rPr>
        <w:t>The plaintiff must remain a shareholder through the duration of the legal action.</w:t>
      </w:r>
    </w:p>
    <w:p>
      <w:pPr>
        <w:spacing w:after="0" w:line="5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There is no other case where shareholders may initiate a</w:t>
      </w:r>
    </w:p>
    <w:p>
      <w:pPr>
        <w:spacing w:after="0" w:line="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derivative action to enforce a right of a corporation.</w:t>
      </w:r>
    </w:p>
    <w:p>
      <w:pPr>
        <w:spacing w:after="0" w:line="90" w:lineRule="exact"/>
        <w:rPr>
          <w:sz w:val="20"/>
          <w:szCs w:val="20"/>
          <w:color w:val="auto"/>
        </w:rPr>
      </w:pPr>
    </w:p>
    <w:p>
      <w:pPr>
        <w:ind w:left="2640"/>
        <w:spacing w:after="0" w:line="287" w:lineRule="auto"/>
        <w:rPr>
          <w:sz w:val="20"/>
          <w:szCs w:val="20"/>
          <w:color w:val="auto"/>
        </w:rPr>
      </w:pPr>
      <w:r>
        <w:rPr>
          <w:rFonts w:ascii="Times New Roman" w:cs="Times New Roman" w:eastAsia="Times New Roman" w:hAnsi="Times New Roman"/>
          <w:sz w:val="14"/>
          <w:szCs w:val="14"/>
          <w:color w:val="auto"/>
        </w:rPr>
        <w:t>A shareholder may alternatively or cumulatively bring individual legal action</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2" w:lineRule="exact"/>
        <w:rPr>
          <w:sz w:val="20"/>
          <w:szCs w:val="20"/>
          <w:color w:val="auto"/>
        </w:rPr>
      </w:pPr>
    </w:p>
    <w:p>
      <w:pPr>
        <w:ind w:right="219"/>
        <w:spacing w:after="0" w:line="265" w:lineRule="auto"/>
        <w:rPr>
          <w:sz w:val="20"/>
          <w:szCs w:val="20"/>
          <w:color w:val="auto"/>
        </w:rPr>
      </w:pPr>
      <w:r>
        <w:rPr>
          <w:rFonts w:ascii="Times New Roman" w:cs="Times New Roman" w:eastAsia="Times New Roman" w:hAnsi="Times New Roman"/>
          <w:sz w:val="14"/>
          <w:szCs w:val="14"/>
          <w:color w:val="auto"/>
        </w:rPr>
        <w:t>held of record by more than 2,000 stockholders, unless the agreement of merger or consolidation requires the holders to accept for their shares anything other than:</w:t>
      </w:r>
    </w:p>
    <w:p>
      <w:pPr>
        <w:spacing w:after="0" w:line="65" w:lineRule="exact"/>
        <w:rPr>
          <w:sz w:val="20"/>
          <w:szCs w:val="20"/>
          <w:color w:val="auto"/>
        </w:rPr>
      </w:pPr>
    </w:p>
    <w:p>
      <w:pPr>
        <w:ind w:left="560" w:hanging="212"/>
        <w:spacing w:after="0"/>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stock of the surviving corporation;</w:t>
      </w:r>
    </w:p>
    <w:p>
      <w:pPr>
        <w:spacing w:after="0" w:line="104" w:lineRule="exact"/>
        <w:rPr>
          <w:rFonts w:ascii="Times New Roman" w:cs="Times New Roman" w:eastAsia="Times New Roman" w:hAnsi="Times New Roman"/>
          <w:sz w:val="14"/>
          <w:szCs w:val="14"/>
          <w:color w:val="auto"/>
        </w:rPr>
      </w:pPr>
    </w:p>
    <w:p>
      <w:pPr>
        <w:jc w:val="both"/>
        <w:ind w:left="560" w:right="219" w:hanging="212"/>
        <w:spacing w:after="0" w:line="270" w:lineRule="auto"/>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another corporation that are either listed on a national securities exchange or held of record by more than 2,000 stockholders;</w:t>
      </w:r>
    </w:p>
    <w:p>
      <w:pPr>
        <w:spacing w:after="0" w:line="61" w:lineRule="exact"/>
        <w:rPr>
          <w:rFonts w:ascii="Times New Roman" w:cs="Times New Roman" w:eastAsia="Times New Roman" w:hAnsi="Times New Roman"/>
          <w:sz w:val="14"/>
          <w:szCs w:val="14"/>
          <w:color w:val="auto"/>
        </w:rPr>
      </w:pPr>
    </w:p>
    <w:p>
      <w:pPr>
        <w:ind w:left="560" w:right="419" w:hanging="212"/>
        <w:spacing w:after="0" w:line="287" w:lineRule="auto"/>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 lieu of fractional shares of the stock described in the two preceding bullet points; or</w:t>
      </w:r>
    </w:p>
    <w:p>
      <w:pPr>
        <w:spacing w:after="0" w:line="49" w:lineRule="exact"/>
        <w:rPr>
          <w:rFonts w:ascii="Times New Roman" w:cs="Times New Roman" w:eastAsia="Times New Roman" w:hAnsi="Times New Roman"/>
          <w:sz w:val="14"/>
          <w:szCs w:val="14"/>
          <w:color w:val="auto"/>
        </w:rPr>
      </w:pPr>
    </w:p>
    <w:p>
      <w:pPr>
        <w:ind w:left="560" w:hanging="212"/>
        <w:spacing w:after="0"/>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above.</w:t>
      </w:r>
    </w:p>
    <w:p>
      <w:pPr>
        <w:spacing w:after="0" w:line="104" w:lineRule="exact"/>
        <w:rPr>
          <w:sz w:val="20"/>
          <w:szCs w:val="20"/>
          <w:color w:val="auto"/>
        </w:rPr>
      </w:pPr>
    </w:p>
    <w:p>
      <w:pPr>
        <w:ind w:right="239"/>
        <w:spacing w:after="0" w:line="264" w:lineRule="auto"/>
        <w:rPr>
          <w:sz w:val="20"/>
          <w:szCs w:val="20"/>
          <w:color w:val="auto"/>
        </w:rPr>
      </w:pPr>
      <w:r>
        <w:rPr>
          <w:rFonts w:ascii="Times New Roman" w:cs="Times New Roman" w:eastAsia="Times New Roman" w:hAnsi="Times New Roman"/>
          <w:sz w:val="14"/>
          <w:szCs w:val="14"/>
          <w:color w:val="auto"/>
        </w:rPr>
        <w:t>In addition, appraisal rights are not available to holders of shares of the surviving corporation in specified mergers that do not require the vote of the stockholders of the surviving corporation.</w:t>
      </w:r>
    </w:p>
    <w:p>
      <w:pPr>
        <w:spacing w:after="0" w:line="66" w:lineRule="exact"/>
        <w:rPr>
          <w:sz w:val="20"/>
          <w:szCs w:val="20"/>
          <w:color w:val="auto"/>
        </w:rPr>
      </w:pPr>
    </w:p>
    <w:p>
      <w:pPr>
        <w:ind w:right="279"/>
        <w:spacing w:after="0" w:line="258" w:lineRule="auto"/>
        <w:rPr>
          <w:sz w:val="20"/>
          <w:szCs w:val="20"/>
          <w:color w:val="auto"/>
        </w:rPr>
      </w:pPr>
      <w:r>
        <w:rPr>
          <w:rFonts w:ascii="Times New Roman" w:cs="Times New Roman" w:eastAsia="Times New Roman" w:hAnsi="Times New Roman"/>
          <w:sz w:val="14"/>
          <w:szCs w:val="14"/>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62" w:lineRule="exact"/>
        <w:rPr>
          <w:sz w:val="20"/>
          <w:szCs w:val="20"/>
          <w:color w:val="auto"/>
        </w:rPr>
      </w:pPr>
    </w:p>
    <w:p>
      <w:pPr>
        <w:ind w:right="259"/>
        <w:spacing w:after="0" w:line="270" w:lineRule="auto"/>
        <w:rPr>
          <w:sz w:val="20"/>
          <w:szCs w:val="20"/>
          <w:color w:val="auto"/>
        </w:rPr>
      </w:pPr>
      <w:r>
        <w:rPr>
          <w:rFonts w:ascii="Times New Roman" w:cs="Times New Roman" w:eastAsia="Times New Roman" w:hAnsi="Times New Roman"/>
          <w:sz w:val="14"/>
          <w:szCs w:val="14"/>
          <w:color w:val="auto"/>
        </w:rPr>
        <w:t>Under Delaware law, a stockholder may initiate a derivative action to enforce a right of a corporation if the corporation fails to enforce the right itself. The complaint must:</w:t>
      </w:r>
    </w:p>
    <w:p>
      <w:pPr>
        <w:spacing w:after="0" w:line="61" w:lineRule="exact"/>
        <w:rPr>
          <w:sz w:val="20"/>
          <w:szCs w:val="20"/>
          <w:color w:val="auto"/>
        </w:rPr>
      </w:pPr>
    </w:p>
    <w:p>
      <w:pPr>
        <w:ind w:left="560" w:right="199" w:hanging="212"/>
        <w:spacing w:after="0" w:line="264" w:lineRule="auto"/>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that the plaintiff was a stockholder at the time of the transaction of which the plaintiff complains or that the plaintiff’s shares thereafter devolved on the plaintiff by operation of law; and</w:t>
      </w:r>
    </w:p>
    <w:p>
      <w:pPr>
        <w:spacing w:after="0" w:line="66" w:lineRule="exact"/>
        <w:rPr>
          <w:rFonts w:ascii="Times New Roman" w:cs="Times New Roman" w:eastAsia="Times New Roman" w:hAnsi="Times New Roman"/>
          <w:sz w:val="14"/>
          <w:szCs w:val="14"/>
          <w:color w:val="auto"/>
        </w:rPr>
      </w:pPr>
    </w:p>
    <w:p>
      <w:pPr>
        <w:ind w:left="560" w:right="379" w:hanging="212"/>
        <w:spacing w:after="0" w:line="264" w:lineRule="auto"/>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allege with particularity the efforts made by the plaintiff to obtain the action the plaintiff desires from the directors and the reasons for the plaintiff’s failure to obtain the action; or</w:t>
      </w:r>
    </w:p>
    <w:p>
      <w:pPr>
        <w:spacing w:after="0" w:line="66" w:lineRule="exact"/>
        <w:rPr>
          <w:rFonts w:ascii="Times New Roman" w:cs="Times New Roman" w:eastAsia="Times New Roman" w:hAnsi="Times New Roman"/>
          <w:sz w:val="14"/>
          <w:szCs w:val="14"/>
          <w:color w:val="auto"/>
        </w:rPr>
      </w:pPr>
    </w:p>
    <w:p>
      <w:pPr>
        <w:ind w:left="560" w:hanging="212"/>
        <w:spacing w:after="0"/>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reasons for not making the effort.</w:t>
      </w:r>
    </w:p>
    <w:p>
      <w:pPr>
        <w:sectPr>
          <w:pgSz w:w="11900" w:h="16838" w:orient="portrait"/>
          <w:cols w:equalWidth="0" w:num="2">
            <w:col w:w="6320" w:space="200"/>
            <w:col w:w="3639"/>
          </w:cols>
          <w:pgMar w:left="300" w:top="38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146"/>
        </w:trPr>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against the directors, provided he has suffered distinct damages</w:t>
            </w:r>
          </w:p>
        </w:tc>
      </w:tr>
      <w:tr>
        <w:trPr>
          <w:trHeight w:val="170"/>
        </w:trPr>
        <w:tc>
          <w:tcPr>
            <w:tcW w:w="1080" w:type="dxa"/>
            <w:vAlign w:val="bottom"/>
          </w:tcPr>
          <w:p>
            <w:pPr>
              <w:spacing w:after="0"/>
              <w:rPr>
                <w:sz w:val="14"/>
                <w:szCs w:val="14"/>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from those suffered by the corporation. In this case, any damages</w:t>
            </w:r>
          </w:p>
        </w:tc>
      </w:tr>
      <w:tr>
        <w:trPr>
          <w:trHeight w:val="184"/>
        </w:trPr>
        <w:tc>
          <w:tcPr>
            <w:tcW w:w="1080" w:type="dxa"/>
            <w:vAlign w:val="bottom"/>
          </w:tcPr>
          <w:p>
            <w:pPr>
              <w:spacing w:after="0"/>
              <w:rPr>
                <w:sz w:val="16"/>
                <w:szCs w:val="16"/>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awarded by the court are paid to the relevant shareholder.</w:t>
            </w:r>
          </w:p>
        </w:tc>
      </w:tr>
      <w:tr>
        <w:trPr>
          <w:trHeight w:val="67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Amendment of</w:t>
            </w: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Unlike companies incorporated under Delaware law, the</w:t>
            </w:r>
          </w:p>
        </w:tc>
      </w:tr>
      <w:tr>
        <w:trPr>
          <w:trHeight w:val="17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Certificate of</w:t>
            </w: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organizational documents, which comprise both a certificate of</w:t>
            </w:r>
          </w:p>
        </w:tc>
      </w:tr>
      <w:tr>
        <w:trPr>
          <w:trHeight w:val="16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w:t>
            </w: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incorporation and by-laws, companies incorporated under French</w:t>
            </w:r>
          </w:p>
        </w:tc>
      </w:tr>
      <w:tr>
        <w:trPr>
          <w:trHeight w:val="186"/>
        </w:trPr>
        <w:tc>
          <w:tcPr>
            <w:tcW w:w="1080" w:type="dxa"/>
            <w:vAlign w:val="bottom"/>
          </w:tcPr>
          <w:p>
            <w:pPr>
              <w:spacing w:after="0"/>
              <w:rPr>
                <w:sz w:val="16"/>
                <w:szCs w:val="16"/>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law only have by-laws (</w:t>
            </w:r>
            <w:r>
              <w:rPr>
                <w:rFonts w:ascii="Times New Roman" w:cs="Times New Roman" w:eastAsia="Times New Roman" w:hAnsi="Times New Roman"/>
                <w:sz w:val="14"/>
                <w:szCs w:val="14"/>
                <w:i w:val="1"/>
                <w:iCs w:val="1"/>
                <w:color w:val="auto"/>
              </w:rPr>
              <w:t>statuts</w:t>
            </w:r>
            <w:r>
              <w:rPr>
                <w:rFonts w:ascii="Times New Roman" w:cs="Times New Roman" w:eastAsia="Times New Roman" w:hAnsi="Times New Roman"/>
                <w:sz w:val="14"/>
                <w:szCs w:val="14"/>
                <w:color w:val="auto"/>
              </w:rPr>
              <w:t>) as organizational documents.</w:t>
            </w:r>
          </w:p>
        </w:tc>
      </w:tr>
      <w:tr>
        <w:trPr>
          <w:trHeight w:val="251"/>
        </w:trPr>
        <w:tc>
          <w:tcPr>
            <w:tcW w:w="1080" w:type="dxa"/>
            <w:vAlign w:val="bottom"/>
          </w:tcPr>
          <w:p>
            <w:pPr>
              <w:spacing w:after="0"/>
              <w:rPr>
                <w:sz w:val="21"/>
                <w:szCs w:val="21"/>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As indicated in the paragraph below, only the extraordinary</w:t>
            </w:r>
          </w:p>
        </w:tc>
      </w:tr>
      <w:tr>
        <w:trPr>
          <w:trHeight w:val="170"/>
        </w:trPr>
        <w:tc>
          <w:tcPr>
            <w:tcW w:w="1080" w:type="dxa"/>
            <w:vAlign w:val="bottom"/>
          </w:tcPr>
          <w:p>
            <w:pPr>
              <w:spacing w:after="0"/>
              <w:rPr>
                <w:sz w:val="14"/>
                <w:szCs w:val="14"/>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shareholders’ meeting is authorized under French law to adopt or</w:t>
            </w:r>
          </w:p>
        </w:tc>
      </w:tr>
      <w:tr>
        <w:trPr>
          <w:trHeight w:val="184"/>
        </w:trPr>
        <w:tc>
          <w:tcPr>
            <w:tcW w:w="1080" w:type="dxa"/>
            <w:vAlign w:val="bottom"/>
          </w:tcPr>
          <w:p>
            <w:pPr>
              <w:spacing w:after="0"/>
              <w:rPr>
                <w:sz w:val="16"/>
                <w:szCs w:val="16"/>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amend the by-laws.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Amendment of</w:t>
      </w:r>
      <w:r>
        <w:rPr>
          <w:sz w:val="20"/>
          <w:szCs w:val="20"/>
          <w:color w:val="auto"/>
        </w:rPr>
        <w:tab/>
      </w:r>
      <w:r>
        <w:rPr>
          <w:rFonts w:ascii="Times New Roman" w:cs="Times New Roman" w:eastAsia="Times New Roman" w:hAnsi="Times New Roman"/>
          <w:sz w:val="14"/>
          <w:szCs w:val="14"/>
          <w:color w:val="auto"/>
        </w:rPr>
        <w:t>Under French law, only the extraordinary shareholders’ meeting</w:t>
      </w:r>
    </w:p>
    <w:p>
      <w:pPr>
        <w:spacing w:after="0" w:line="23"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14"/>
          <w:szCs w:val="14"/>
          <w:color w:val="auto"/>
        </w:rPr>
        <w:t>by-laws</w:t>
      </w:r>
      <w:r>
        <w:rPr>
          <w:sz w:val="20"/>
          <w:szCs w:val="20"/>
          <w:color w:val="auto"/>
        </w:rPr>
        <w:tab/>
      </w:r>
      <w:r>
        <w:rPr>
          <w:rFonts w:ascii="Times New Roman" w:cs="Times New Roman" w:eastAsia="Times New Roman" w:hAnsi="Times New Roman"/>
          <w:sz w:val="14"/>
          <w:szCs w:val="14"/>
          <w:color w:val="auto"/>
        </w:rPr>
        <w:t>is authorized to adopt or amend the by-laws (two-thirds</w:t>
      </w:r>
    </w:p>
    <w:p>
      <w:pPr>
        <w:spacing w:after="0" w:line="9" w:lineRule="exact"/>
        <w:rPr>
          <w:sz w:val="20"/>
          <w:szCs w:val="20"/>
          <w:color w:val="auto"/>
        </w:rPr>
      </w:pPr>
    </w:p>
    <w:p>
      <w:pPr>
        <w:ind w:left="2640" w:right="60"/>
        <w:spacing w:after="0" w:line="254" w:lineRule="auto"/>
        <w:rPr>
          <w:sz w:val="20"/>
          <w:szCs w:val="20"/>
          <w:color w:val="auto"/>
        </w:rPr>
      </w:pPr>
      <w:r>
        <w:rPr>
          <w:rFonts w:ascii="Times New Roman" w:cs="Times New Roman" w:eastAsia="Times New Roman" w:hAnsi="Times New Roman"/>
          <w:sz w:val="14"/>
          <w:szCs w:val="14"/>
          <w:color w:val="auto"/>
        </w:rPr>
        <w:t>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19646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92" w:lineRule="exact"/>
        <w:rPr>
          <w:sz w:val="20"/>
          <w:szCs w:val="20"/>
          <w:color w:val="auto"/>
        </w:rPr>
      </w:pPr>
    </w:p>
    <w:p>
      <w:pPr>
        <w:ind w:left="560" w:right="259" w:hanging="212"/>
        <w:spacing w:after="0" w:line="261" w:lineRule="auto"/>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 plaintiff must remain a stockholder through the duration of the derivative suit. The action will not be dismissed or compromised without the approval of the Delaware Court of Chancery.</w:t>
      </w:r>
    </w:p>
    <w:p>
      <w:pPr>
        <w:spacing w:after="0" w:line="58" w:lineRule="exact"/>
        <w:rPr>
          <w:sz w:val="20"/>
          <w:szCs w:val="20"/>
          <w:color w:val="auto"/>
        </w:rPr>
      </w:pPr>
    </w:p>
    <w:p>
      <w:pPr>
        <w:ind w:right="239"/>
        <w:spacing w:after="0" w:line="287" w:lineRule="auto"/>
        <w:rPr>
          <w:sz w:val="20"/>
          <w:szCs w:val="20"/>
          <w:color w:val="auto"/>
        </w:rPr>
      </w:pPr>
      <w:r>
        <w:rPr>
          <w:rFonts w:ascii="Times New Roman" w:cs="Times New Roman" w:eastAsia="Times New Roman" w:hAnsi="Times New Roman"/>
          <w:sz w:val="14"/>
          <w:szCs w:val="14"/>
          <w:color w:val="auto"/>
        </w:rPr>
        <w:t>Under Delaware law, generally a corporation may amend its certificate of incorporation if:</w:t>
      </w:r>
    </w:p>
    <w:p>
      <w:pPr>
        <w:spacing w:after="0" w:line="50" w:lineRule="exact"/>
        <w:rPr>
          <w:sz w:val="20"/>
          <w:szCs w:val="20"/>
          <w:color w:val="auto"/>
        </w:rPr>
      </w:pPr>
    </w:p>
    <w:p>
      <w:pPr>
        <w:ind w:left="560" w:right="499" w:hanging="212"/>
        <w:spacing w:after="0" w:line="270" w:lineRule="auto"/>
        <w:tabs>
          <w:tab w:leader="none" w:pos="5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board of directors has adopted a resolution setting forth the amendment proposed and declared its advisability; and</w:t>
      </w:r>
    </w:p>
    <w:p>
      <w:pPr>
        <w:spacing w:after="0" w:line="61" w:lineRule="exact"/>
        <w:rPr>
          <w:rFonts w:ascii="Times New Roman" w:cs="Times New Roman" w:eastAsia="Times New Roman" w:hAnsi="Times New Roman"/>
          <w:sz w:val="14"/>
          <w:szCs w:val="14"/>
          <w:color w:val="auto"/>
        </w:rPr>
      </w:pPr>
    </w:p>
    <w:p>
      <w:pPr>
        <w:ind w:left="560" w:right="219" w:hanging="212"/>
        <w:spacing w:after="0" w:line="257" w:lineRule="auto"/>
        <w:tabs>
          <w:tab w:leader="none" w:pos="5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is adopted by the affirmative votes of a majority (or greater percentage as may be 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61" w:lineRule="exact"/>
        <w:rPr>
          <w:sz w:val="20"/>
          <w:szCs w:val="20"/>
          <w:color w:val="auto"/>
        </w:rPr>
      </w:pPr>
    </w:p>
    <w:p>
      <w:pPr>
        <w:ind w:right="259"/>
        <w:spacing w:after="0" w:line="264" w:lineRule="auto"/>
        <w:rPr>
          <w:sz w:val="20"/>
          <w:szCs w:val="20"/>
          <w:color w:val="auto"/>
        </w:rPr>
      </w:pPr>
      <w:r>
        <w:rPr>
          <w:rFonts w:ascii="Times New Roman" w:cs="Times New Roman" w:eastAsia="Times New Roman" w:hAnsi="Times New Roman"/>
          <w:sz w:val="14"/>
          <w:szCs w:val="14"/>
          <w:color w:val="auto"/>
        </w:rPr>
        <w:t>Under Delaware law, the stockholders entitled to vote have the power to adopt, amend or repeal by-laws. A corporation may also confer, in its certificate of incorporation, that power upon the board of directors.</w:t>
      </w:r>
    </w:p>
    <w:p>
      <w:pPr>
        <w:spacing w:after="0" w:line="1208" w:lineRule="exact"/>
        <w:rPr>
          <w:sz w:val="20"/>
          <w:szCs w:val="20"/>
          <w:color w:val="auto"/>
        </w:rPr>
      </w:pPr>
    </w:p>
    <w:p>
      <w:pPr>
        <w:sectPr>
          <w:pgSz w:w="11900" w:h="16838" w:orient="portrait"/>
          <w:cols w:equalWidth="0" w:num="2">
            <w:col w:w="6340" w:space="180"/>
            <w:col w:w="3639"/>
          </w:cols>
          <w:pgMar w:left="300" w:top="388" w:right="1440" w:bottom="1440" w:gutter="0" w:footer="0" w:header="0"/>
        </w:sectPr>
      </w:pPr>
    </w:p>
    <w:p>
      <w:pPr>
        <w:spacing w:after="0" w:line="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Legal Name; Formation; Registered Office</w:t>
      </w:r>
    </w:p>
    <w:p>
      <w:pPr>
        <w:spacing w:after="0" w:line="94" w:lineRule="exact"/>
        <w:rPr>
          <w:sz w:val="20"/>
          <w:szCs w:val="20"/>
          <w:color w:val="auto"/>
        </w:rPr>
      </w:pPr>
    </w:p>
    <w:p>
      <w:pPr>
        <w:ind w:left="1320" w:right="239"/>
        <w:spacing w:after="0" w:line="260" w:lineRule="auto"/>
        <w:rPr>
          <w:sz w:val="20"/>
          <w:szCs w:val="20"/>
          <w:color w:val="auto"/>
        </w:rPr>
      </w:pPr>
      <w:r>
        <w:rPr>
          <w:rFonts w:ascii="Times New Roman" w:cs="Times New Roman" w:eastAsia="Times New Roman" w:hAnsi="Times New Roman"/>
          <w:sz w:val="14"/>
          <w:szCs w:val="14"/>
          <w:color w:val="auto"/>
        </w:rPr>
        <w:t xml:space="preserve">Our legal name and commercial name is Abivax SA. 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Our headquarters are located at 7-11 boulevard Haussmann, 75009 Paris, France. We were registered at the Paris Trade and Company Register on December 27, 2013 for a period of 99 years until December 22, 2112, subject to extension or early dissolution, under the number 799 363 718. Our telephone number at our principal executive offices is +33 (0) 1 53 83 09 63. Our agent for service of process in the United States is CT Corporation System, 1015 15th Street, N.W., Suite 1000, Washington, D.C. 20005. Our website address is www.abivax.com. The reference to our website is an inactive textual reference only and information contained in, or that can be assessed through, our website is not part of this prospectus.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8"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6" w:lineRule="exact"/>
        <w:rPr>
          <w:sz w:val="20"/>
          <w:szCs w:val="20"/>
          <w:color w:val="auto"/>
        </w:rPr>
      </w:pPr>
    </w:p>
    <w:p>
      <w:pPr>
        <w:ind w:left="1320" w:right="439"/>
        <w:spacing w:after="0" w:line="287" w:lineRule="auto"/>
        <w:rPr>
          <w:sz w:val="20"/>
          <w:szCs w:val="20"/>
          <w:color w:val="auto"/>
        </w:rPr>
      </w:pPr>
      <w:r>
        <w:rPr>
          <w:rFonts w:ascii="Times New Roman" w:cs="Times New Roman" w:eastAsia="Times New Roman" w:hAnsi="Times New Roman"/>
          <w:sz w:val="14"/>
          <w:szCs w:val="14"/>
          <w:color w:val="auto"/>
        </w:rPr>
        <w:t>Our ADSs are listed on the Nasdaq Global Market under the symbol “ABVX” and our ordinary shares are listed on Euronext Paris under the symbol “ABVX.”</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6"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The depositary for our ADSs is Citibank, N.A. Uptevia is our transfer agent and registrar for our ordinary shares and currently maintains our share register for our ordinary shares.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the ADSs. Holders of our ADSs have a right to receive the ordinary shares underlying their ADSs. For discussion on our ADSs and ADS holder rights, see “Description of American Depositary Shares” in this prospectus.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LIMITATIONS AFFECTING SHAREHOLDERS OF A FRENCH COMPANY</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Ownership of ADSs by Non-French Residents</w:t>
      </w:r>
    </w:p>
    <w:p>
      <w:pPr>
        <w:spacing w:after="0" w:line="96"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Times New Roman" w:cs="Times New Roman" w:eastAsia="Times New Roman" w:hAnsi="Times New Roman"/>
          <w:sz w:val="14"/>
          <w:szCs w:val="14"/>
          <w:i w:val="1"/>
          <w:iCs w:val="1"/>
          <w:color w:val="auto"/>
        </w:rPr>
        <w:t>Banque de France</w:t>
      </w:r>
      <w:r>
        <w:rPr>
          <w:rFonts w:ascii="Times New Roman" w:cs="Times New Roman" w:eastAsia="Times New Roman" w:hAnsi="Times New Roman"/>
          <w:sz w:val="14"/>
          <w:szCs w:val="14"/>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Further, any investment:</w:t>
      </w:r>
    </w:p>
    <w:p>
      <w:pPr>
        <w:spacing w:after="0" w:line="94" w:lineRule="exact"/>
        <w:rPr>
          <w:sz w:val="20"/>
          <w:szCs w:val="20"/>
          <w:color w:val="auto"/>
        </w:rPr>
      </w:pPr>
    </w:p>
    <w:p>
      <w:pPr>
        <w:ind w:left="1320" w:right="339" w:hanging="5"/>
        <w:spacing w:after="0" w:line="287" w:lineRule="auto"/>
        <w:tabs>
          <w:tab w:leader="none" w:pos="148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any non-French citizen, (b) any French citizen not residing in France, (c) any non-French entity or (d) any French entity controlled by one of the aforementioned persons or entities;</w:t>
      </w:r>
    </w:p>
    <w:p>
      <w:pPr>
        <w:spacing w:after="0" w:line="124" w:lineRule="exact"/>
        <w:rPr>
          <w:rFonts w:ascii="Times New Roman" w:cs="Times New Roman" w:eastAsia="Times New Roman" w:hAnsi="Times New Roman"/>
          <w:sz w:val="14"/>
          <w:szCs w:val="14"/>
          <w:color w:val="auto"/>
        </w:rPr>
      </w:pPr>
    </w:p>
    <w:p>
      <w:pPr>
        <w:jc w:val="both"/>
        <w:ind w:left="1320" w:right="319" w:hanging="5"/>
        <w:spacing w:after="0" w:line="270" w:lineRule="auto"/>
        <w:tabs>
          <w:tab w:leader="none" w:pos="152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35" w:lineRule="exact"/>
        <w:rPr>
          <w:rFonts w:ascii="Times New Roman" w:cs="Times New Roman" w:eastAsia="Times New Roman" w:hAnsi="Times New Roman"/>
          <w:sz w:val="14"/>
          <w:szCs w:val="14"/>
          <w:color w:val="auto"/>
        </w:rPr>
      </w:pPr>
    </w:p>
    <w:p>
      <w:pPr>
        <w:ind w:left="1320" w:right="219" w:hanging="5"/>
        <w:spacing w:after="0" w:line="258" w:lineRule="auto"/>
        <w:tabs>
          <w:tab w:leader="none" w:pos="156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media, and critical raw materials), and (c) research and development activity related to critical technologies (including cybersecurity, artificial intelligence, robotics, additive manufacturing, semiconductors, quantum technologies, energy storage, biotechnologies, low carbon energy or photonics) or dual-use items, is subject to the prior authorization of the French Ministry of Economy, which authorization may be conditioned on certain undertakings.</w:t>
      </w:r>
    </w:p>
    <w:p>
      <w:pPr>
        <w:spacing w:after="0" w:line="145" w:lineRule="exact"/>
        <w:rPr>
          <w:sz w:val="20"/>
          <w:szCs w:val="20"/>
          <w:color w:val="auto"/>
        </w:rPr>
      </w:pPr>
    </w:p>
    <w:p>
      <w:pPr>
        <w:ind w:left="1320" w:right="459"/>
        <w:spacing w:after="0" w:line="261" w:lineRule="auto"/>
        <w:rPr>
          <w:sz w:val="20"/>
          <w:szCs w:val="20"/>
          <w:color w:val="auto"/>
        </w:rPr>
      </w:pPr>
      <w:r>
        <w:rPr>
          <w:rFonts w:ascii="Times New Roman" w:cs="Times New Roman" w:eastAsia="Times New Roman" w:hAnsi="Times New Roman"/>
          <w:sz w:val="14"/>
          <w:szCs w:val="14"/>
          <w:color w:val="auto"/>
        </w:rPr>
        <w:t>The Decree (</w:t>
      </w:r>
      <w:r>
        <w:rPr>
          <w:rFonts w:ascii="Times New Roman" w:cs="Times New Roman" w:eastAsia="Times New Roman" w:hAnsi="Times New Roman"/>
          <w:sz w:val="14"/>
          <w:szCs w:val="14"/>
          <w:i w:val="1"/>
          <w:iCs w:val="1"/>
          <w:color w:val="auto"/>
        </w:rPr>
        <w:t>décret</w:t>
      </w:r>
      <w:r>
        <w:rPr>
          <w:rFonts w:ascii="Times New Roman" w:cs="Times New Roman" w:eastAsia="Times New Roman" w:hAnsi="Times New Roman"/>
          <w:sz w:val="14"/>
          <w:szCs w:val="14"/>
          <w:color w:val="auto"/>
        </w:rPr>
        <w:t>) n° 2023-1293 of December 28, 2023 made permanent the temporary regime under Decree (</w:t>
      </w:r>
      <w:r>
        <w:rPr>
          <w:rFonts w:ascii="Times New Roman" w:cs="Times New Roman" w:eastAsia="Times New Roman" w:hAnsi="Times New Roman"/>
          <w:sz w:val="14"/>
          <w:szCs w:val="14"/>
          <w:i w:val="1"/>
          <w:iCs w:val="1"/>
          <w:color w:val="auto"/>
        </w:rPr>
        <w:t>décret</w:t>
      </w:r>
      <w:r>
        <w:rPr>
          <w:rFonts w:ascii="Times New Roman" w:cs="Times New Roman" w:eastAsia="Times New Roman" w:hAnsi="Times New Roman"/>
          <w:sz w:val="14"/>
          <w:szCs w:val="14"/>
          <w:color w:val="auto"/>
        </w:rPr>
        <w:t>) n° 2020-892 dated July 22, 2020, as amended on December 28, 2020 by the Decree (</w:t>
      </w:r>
      <w:r>
        <w:rPr>
          <w:rFonts w:ascii="Times New Roman" w:cs="Times New Roman" w:eastAsia="Times New Roman" w:hAnsi="Times New Roman"/>
          <w:sz w:val="14"/>
          <w:szCs w:val="14"/>
          <w:i w:val="1"/>
          <w:iCs w:val="1"/>
          <w:color w:val="auto"/>
        </w:rPr>
        <w:t>décret</w:t>
      </w:r>
      <w:r>
        <w:rPr>
          <w:rFonts w:ascii="Times New Roman" w:cs="Times New Roman" w:eastAsia="Times New Roman" w:hAnsi="Times New Roman"/>
          <w:sz w:val="14"/>
          <w:szCs w:val="14"/>
          <w:color w:val="auto"/>
        </w:rPr>
        <w:t>) n° 2020-1729, on December 22, 2021 by the Decree (</w:t>
      </w:r>
      <w:r>
        <w:rPr>
          <w:rFonts w:ascii="Times New Roman" w:cs="Times New Roman" w:eastAsia="Times New Roman" w:hAnsi="Times New Roman"/>
          <w:sz w:val="14"/>
          <w:szCs w:val="14"/>
          <w:i w:val="1"/>
          <w:iCs w:val="1"/>
          <w:color w:val="auto"/>
        </w:rPr>
        <w:t>décret</w:t>
      </w:r>
      <w:r>
        <w:rPr>
          <w:rFonts w:ascii="Times New Roman" w:cs="Times New Roman" w:eastAsia="Times New Roman" w:hAnsi="Times New Roman"/>
          <w:sz w:val="14"/>
          <w:szCs w:val="14"/>
          <w:color w:val="auto"/>
        </w:rPr>
        <w:t>) n° 2021-1758, and on December 23, 2022 by the Decree (</w:t>
      </w:r>
      <w:r>
        <w:rPr>
          <w:rFonts w:ascii="Times New Roman" w:cs="Times New Roman" w:eastAsia="Times New Roman" w:hAnsi="Times New Roman"/>
          <w:sz w:val="14"/>
          <w:szCs w:val="14"/>
          <w:i w:val="1"/>
          <w:iCs w:val="1"/>
          <w:color w:val="auto"/>
        </w:rPr>
        <w:t>décret</w:t>
      </w:r>
      <w:r>
        <w:rPr>
          <w:rFonts w:ascii="Times New Roman" w:cs="Times New Roman" w:eastAsia="Times New Roman" w:hAnsi="Times New Roman"/>
          <w:sz w:val="14"/>
          <w:szCs w:val="14"/>
          <w:color w:val="auto"/>
        </w:rPr>
        <w:t>) n° 2022-1622, creating a new 10% threshold of the voting rights for the non-European investments made</w:t>
      </w:r>
    </w:p>
    <w:p>
      <w:pPr>
        <w:ind w:left="1320" w:right="199" w:hanging="5"/>
        <w:spacing w:after="0" w:line="259" w:lineRule="auto"/>
        <w:tabs>
          <w:tab w:leader="none" w:pos="148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entity with its registered office in France and (ii) whose shares are admitted to trading on a French-, EU- or EEA-regulated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144"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an individual).</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Foreign Exchange Controls</w:t>
      </w:r>
    </w:p>
    <w:p>
      <w:pPr>
        <w:spacing w:after="0" w:line="96" w:lineRule="exact"/>
        <w:rPr>
          <w:sz w:val="20"/>
          <w:szCs w:val="20"/>
          <w:color w:val="auto"/>
        </w:rPr>
      </w:pPr>
    </w:p>
    <w:p>
      <w:pPr>
        <w:ind w:left="1320" w:right="339"/>
        <w:spacing w:after="0" w:line="264" w:lineRule="auto"/>
        <w:rPr>
          <w:sz w:val="20"/>
          <w:szCs w:val="20"/>
          <w:color w:val="auto"/>
        </w:rPr>
      </w:pPr>
      <w:r>
        <w:rPr>
          <w:rFonts w:ascii="Times New Roman" w:cs="Times New Roman" w:eastAsia="Times New Roman" w:hAnsi="Times New Roman"/>
          <w:sz w:val="14"/>
          <w:szCs w:val="14"/>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Availability of Preferential Subscription Rights</w:t>
      </w:r>
    </w:p>
    <w:p>
      <w:pPr>
        <w:spacing w:after="0" w:line="96"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While our current shareholders waived their preferential subscription rights with respect to certain offerings at a shareholders’ general meeting held on June 6, 2025, in the future our shareholders will have preferential subscription rights. Under French law, shareholders have preferential rights to subscribe for cash issues of new ordinary shares or other securities giving rights to acquire additional ordinary shares on a pro rata basis. Holders of our securities in the United States (which may be in the form of ordinary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ordinary shares or other securities giving rights to acquire additional ordinary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ordinary shares or other securities. We intend to evaluate at the time of any rights offering the costs and potential liabilities associated with registering the rights, as well as the indirect benefits to us of enabling the exercise by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46"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81"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Citibank, N.A., or Citibank, is the depositary for the ADSs representing our ordinary shares.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Europe plc, located at 1 North Wall Quay, Dublin 1 Ireland.</w:t>
      </w:r>
    </w:p>
    <w:p>
      <w:pPr>
        <w:spacing w:after="0" w:line="140"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We have appointed Citibank as depositary pursuant to a deposit agreement. The form of the deposit agreement is on file with the SEC under cover of a registration statement on Form F-6. You may obtain a copy of the deposit agreement from the SEC’s website (www.sec.gov). Please refer to registration number 333-274780 when retrieving such copy. The portions of this summary description that are italicized describe matters that may be relevant to the ownership of ADSs but that may not be contained in the deposit agreement.</w:t>
      </w:r>
    </w:p>
    <w:p>
      <w:pPr>
        <w:spacing w:after="0" w:line="140" w:lineRule="exact"/>
        <w:rPr>
          <w:sz w:val="20"/>
          <w:szCs w:val="20"/>
          <w:color w:val="auto"/>
        </w:rPr>
      </w:pPr>
    </w:p>
    <w:p>
      <w:pPr>
        <w:ind w:left="1320" w:right="239"/>
        <w:spacing w:after="0" w:line="270" w:lineRule="auto"/>
        <w:rPr>
          <w:sz w:val="20"/>
          <w:szCs w:val="20"/>
          <w:color w:val="auto"/>
        </w:rPr>
      </w:pPr>
      <w:r>
        <w:rPr>
          <w:rFonts w:ascii="Times New Roman" w:cs="Times New Roman" w:eastAsia="Times New Roman" w:hAnsi="Times New Roman"/>
          <w:sz w:val="14"/>
          <w:szCs w:val="14"/>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136" w:lineRule="exact"/>
        <w:rPr>
          <w:sz w:val="20"/>
          <w:szCs w:val="20"/>
          <w:color w:val="auto"/>
        </w:rPr>
      </w:pPr>
    </w:p>
    <w:p>
      <w:pPr>
        <w:ind w:left="1320" w:right="179"/>
        <w:spacing w:after="0" w:line="255" w:lineRule="auto"/>
        <w:rPr>
          <w:sz w:val="20"/>
          <w:szCs w:val="20"/>
          <w:color w:val="auto"/>
        </w:rPr>
      </w:pPr>
      <w:r>
        <w:rPr>
          <w:rFonts w:ascii="Times New Roman" w:cs="Times New Roman" w:eastAsia="Times New Roman" w:hAnsi="Times New Roman"/>
          <w:sz w:val="14"/>
          <w:szCs w:val="14"/>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shares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53"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43" w:lineRule="exact"/>
        <w:rPr>
          <w:sz w:val="20"/>
          <w:szCs w:val="20"/>
          <w:color w:val="auto"/>
        </w:rPr>
      </w:pPr>
    </w:p>
    <w:p>
      <w:pPr>
        <w:ind w:left="1320" w:right="179"/>
        <w:spacing w:after="0" w:line="264" w:lineRule="auto"/>
        <w:rPr>
          <w:sz w:val="20"/>
          <w:szCs w:val="20"/>
          <w:color w:val="auto"/>
        </w:rPr>
      </w:pPr>
      <w:r>
        <w:rPr>
          <w:rFonts w:ascii="Times New Roman" w:cs="Times New Roman" w:eastAsia="Times New Roman" w:hAnsi="Times New Roman"/>
          <w:sz w:val="14"/>
          <w:szCs w:val="14"/>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both"/>
        <w:ind w:left="1320" w:right="199"/>
        <w:spacing w:after="0" w:line="262" w:lineRule="auto"/>
        <w:rPr>
          <w:sz w:val="20"/>
          <w:szCs w:val="20"/>
          <w:color w:val="auto"/>
        </w:rPr>
      </w:pPr>
      <w:r>
        <w:rPr>
          <w:rFonts w:ascii="Times New Roman" w:cs="Times New Roman" w:eastAsia="Times New Roman" w:hAnsi="Times New Roman"/>
          <w:sz w:val="14"/>
          <w:szCs w:val="14"/>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42"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manner in which you own the ADSs (e.g., in a brokerage account vs. as registered holder, or as holder of certificated vs. uncertificated ADSs) may affect your rights and obligations, and the manner in which, and extent to which, the depositary’s services are made available to you.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52"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96"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Cash</w:t>
      </w:r>
    </w:p>
    <w:p>
      <w:pPr>
        <w:spacing w:after="0" w:line="96"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France.</w:t>
      </w:r>
    </w:p>
    <w:p>
      <w:pPr>
        <w:spacing w:after="0" w:line="136"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Shares</w:t>
      </w:r>
    </w:p>
    <w:p>
      <w:pPr>
        <w:spacing w:after="0" w:line="96"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will </w:t>
      </w:r>
      <w:r>
        <w:rPr>
          <w:rFonts w:ascii="Times New Roman" w:cs="Times New Roman" w:eastAsia="Times New Roman" w:hAnsi="Times New Roman"/>
          <w:sz w:val="14"/>
          <w:szCs w:val="14"/>
          <w:u w:val="single" w:color="auto"/>
          <w:color w:val="auto"/>
        </w:rPr>
        <w:t>either</w:t>
      </w:r>
      <w:r>
        <w:rPr>
          <w:rFonts w:ascii="Times New Roman" w:cs="Times New Roman" w:eastAsia="Times New Roman" w:hAnsi="Times New Roman"/>
          <w:sz w:val="14"/>
          <w:szCs w:val="14"/>
          <w:color w:val="auto"/>
        </w:rPr>
        <w:t xml:space="preserve"> distribute to holders new ADSs representing the ordinary shares deposited </w:t>
      </w:r>
      <w:r>
        <w:rPr>
          <w:rFonts w:ascii="Times New Roman" w:cs="Times New Roman" w:eastAsia="Times New Roman" w:hAnsi="Times New Roman"/>
          <w:sz w:val="14"/>
          <w:szCs w:val="14"/>
          <w:u w:val="single" w:color="auto"/>
          <w:color w:val="auto"/>
        </w:rPr>
        <w:t>or</w:t>
      </w:r>
      <w:r>
        <w:rPr>
          <w:rFonts w:ascii="Times New Roman" w:cs="Times New Roman" w:eastAsia="Times New Roman" w:hAnsi="Times New Roman"/>
          <w:sz w:val="14"/>
          <w:szCs w:val="14"/>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43"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34" w:lineRule="exact"/>
        <w:rPr>
          <w:sz w:val="20"/>
          <w:szCs w:val="20"/>
          <w:color w:val="auto"/>
        </w:rPr>
      </w:pPr>
    </w:p>
    <w:p>
      <w:pPr>
        <w:ind w:left="1320" w:right="259"/>
        <w:spacing w:after="0" w:line="271" w:lineRule="auto"/>
        <w:rPr>
          <w:sz w:val="20"/>
          <w:szCs w:val="20"/>
          <w:color w:val="auto"/>
        </w:rPr>
      </w:pPr>
      <w:r>
        <w:rPr>
          <w:rFonts w:ascii="Times New Roman" w:cs="Times New Roman" w:eastAsia="Times New Roman" w:hAnsi="Times New Roman"/>
          <w:sz w:val="14"/>
          <w:szCs w:val="14"/>
          <w:color w:val="auto"/>
        </w:rPr>
        <w:t>No such distribution of new ADSs will be made if it would violate a law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Rights</w:t>
      </w:r>
    </w:p>
    <w:p>
      <w:pPr>
        <w:spacing w:after="0" w:line="96" w:lineRule="exact"/>
        <w:rPr>
          <w:sz w:val="20"/>
          <w:szCs w:val="20"/>
          <w:color w:val="auto"/>
        </w:rPr>
      </w:pPr>
    </w:p>
    <w:p>
      <w:pPr>
        <w:ind w:left="1320" w:right="499"/>
        <w:spacing w:after="0" w:line="287" w:lineRule="auto"/>
        <w:rPr>
          <w:sz w:val="20"/>
          <w:szCs w:val="20"/>
          <w:color w:val="auto"/>
        </w:rPr>
      </w:pPr>
      <w:r>
        <w:rPr>
          <w:rFonts w:ascii="Times New Roman" w:cs="Times New Roman" w:eastAsia="Times New Roman" w:hAnsi="Times New Roman"/>
          <w:sz w:val="14"/>
          <w:szCs w:val="14"/>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124"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The depositary will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distribute the rights to you if:</w:t>
      </w:r>
    </w:p>
    <w:p>
      <w:pPr>
        <w:spacing w:after="0" w:line="106" w:lineRule="exact"/>
        <w:rPr>
          <w:sz w:val="20"/>
          <w:szCs w:val="20"/>
          <w:color w:val="auto"/>
        </w:rPr>
      </w:pPr>
    </w:p>
    <w:p>
      <w:pPr>
        <w:ind w:left="2080" w:hanging="340"/>
        <w:spacing w:after="0"/>
        <w:tabs>
          <w:tab w:leader="none" w:pos="2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timely request that the rights be distributed to you or we request that the rights not be distributed to you; or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deliver satisfactory documents to the depositary; or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reasonably practicable to distribute the rights.</w:t>
      </w:r>
    </w:p>
    <w:p>
      <w:pPr>
        <w:spacing w:after="0" w:line="179" w:lineRule="exact"/>
        <w:rPr>
          <w:sz w:val="20"/>
          <w:szCs w:val="20"/>
          <w:color w:val="auto"/>
        </w:rPr>
      </w:pPr>
    </w:p>
    <w:p>
      <w:pPr>
        <w:ind w:left="1320" w:right="419"/>
        <w:spacing w:after="0" w:line="287" w:lineRule="auto"/>
        <w:rPr>
          <w:sz w:val="20"/>
          <w:szCs w:val="20"/>
          <w:color w:val="auto"/>
        </w:rPr>
      </w:pPr>
      <w:r>
        <w:rPr>
          <w:rFonts w:ascii="Times New Roman" w:cs="Times New Roman" w:eastAsia="Times New Roman" w:hAnsi="Times New Roman"/>
          <w:sz w:val="14"/>
          <w:szCs w:val="14"/>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Elective Distributions</w:t>
      </w:r>
    </w:p>
    <w:p>
      <w:pPr>
        <w:spacing w:after="0" w:line="96" w:lineRule="exact"/>
        <w:rPr>
          <w:sz w:val="20"/>
          <w:szCs w:val="20"/>
          <w:color w:val="auto"/>
        </w:rPr>
      </w:pPr>
    </w:p>
    <w:p>
      <w:pPr>
        <w:ind w:left="1320" w:right="579"/>
        <w:spacing w:after="0" w:line="287" w:lineRule="auto"/>
        <w:rPr>
          <w:sz w:val="20"/>
          <w:szCs w:val="20"/>
          <w:color w:val="auto"/>
        </w:rPr>
      </w:pPr>
      <w:r>
        <w:rPr>
          <w:rFonts w:ascii="Times New Roman" w:cs="Times New Roman" w:eastAsia="Times New Roman" w:hAnsi="Times New Roman"/>
          <w:sz w:val="14"/>
          <w:szCs w:val="14"/>
          <w:color w:val="auto"/>
        </w:rPr>
        <w:t>Whenever we intend to distribute a dividend payable at the election of shareholders either in cash or in additional shares, we will give prior notice thereof to the depositary and will indicate whether we wish the elective</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419"/>
        <w:spacing w:after="0" w:line="287" w:lineRule="auto"/>
        <w:rPr>
          <w:sz w:val="20"/>
          <w:szCs w:val="20"/>
          <w:color w:val="auto"/>
        </w:rPr>
      </w:pPr>
      <w:r>
        <w:rPr>
          <w:rFonts w:ascii="Times New Roman" w:cs="Times New Roman" w:eastAsia="Times New Roman" w:hAnsi="Times New Roman"/>
          <w:sz w:val="14"/>
          <w:szCs w:val="14"/>
          <w:color w:val="auto"/>
        </w:rPr>
        <w:t>distribution to be made available to you. In such case, we will assist the depositary in determining whether such distribution is lawful and reasonably practicable.</w:t>
      </w:r>
    </w:p>
    <w:p>
      <w:pPr>
        <w:spacing w:after="0" w:line="124" w:lineRule="exact"/>
        <w:rPr>
          <w:sz w:val="20"/>
          <w:szCs w:val="20"/>
          <w:color w:val="auto"/>
        </w:rPr>
      </w:pPr>
    </w:p>
    <w:p>
      <w:pPr>
        <w:ind w:left="1320" w:right="199"/>
        <w:spacing w:after="0" w:line="270" w:lineRule="auto"/>
        <w:rPr>
          <w:sz w:val="20"/>
          <w:szCs w:val="20"/>
          <w:color w:val="auto"/>
        </w:rPr>
      </w:pPr>
      <w:r>
        <w:rPr>
          <w:rFonts w:ascii="Times New Roman" w:cs="Times New Roman" w:eastAsia="Times New Roman" w:hAnsi="Times New Roman"/>
          <w:sz w:val="14"/>
          <w:szCs w:val="14"/>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36" w:lineRule="exact"/>
        <w:rPr>
          <w:sz w:val="20"/>
          <w:szCs w:val="20"/>
          <w:color w:val="auto"/>
        </w:rPr>
      </w:pPr>
    </w:p>
    <w:p>
      <w:pPr>
        <w:ind w:left="1320" w:right="339"/>
        <w:spacing w:after="0" w:line="287" w:lineRule="auto"/>
        <w:rPr>
          <w:sz w:val="20"/>
          <w:szCs w:val="20"/>
          <w:color w:val="auto"/>
        </w:rPr>
      </w:pPr>
      <w:r>
        <w:rPr>
          <w:rFonts w:ascii="Times New Roman" w:cs="Times New Roman" w:eastAsia="Times New Roman" w:hAnsi="Times New Roman"/>
          <w:sz w:val="14"/>
          <w:szCs w:val="14"/>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Other Distributions</w:t>
      </w:r>
    </w:p>
    <w:p>
      <w:pPr>
        <w:spacing w:after="0" w:line="96" w:lineRule="exact"/>
        <w:rPr>
          <w:sz w:val="20"/>
          <w:szCs w:val="20"/>
          <w:color w:val="auto"/>
        </w:rPr>
      </w:pPr>
    </w:p>
    <w:p>
      <w:pPr>
        <w:ind w:left="1320" w:right="259"/>
        <w:spacing w:after="0" w:line="270" w:lineRule="auto"/>
        <w:rPr>
          <w:sz w:val="20"/>
          <w:szCs w:val="20"/>
          <w:color w:val="auto"/>
        </w:rPr>
      </w:pPr>
      <w:r>
        <w:rPr>
          <w:rFonts w:ascii="Times New Roman" w:cs="Times New Roman" w:eastAsia="Times New Roman" w:hAnsi="Times New Roman"/>
          <w:sz w:val="14"/>
          <w:szCs w:val="14"/>
          <w:color w:val="auto"/>
        </w:rPr>
        <w:t>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36" w:lineRule="exact"/>
        <w:rPr>
          <w:sz w:val="20"/>
          <w:szCs w:val="20"/>
          <w:color w:val="auto"/>
        </w:rPr>
      </w:pPr>
    </w:p>
    <w:p>
      <w:pPr>
        <w:ind w:left="1320" w:right="279"/>
        <w:spacing w:after="0" w:line="287" w:lineRule="auto"/>
        <w:rPr>
          <w:sz w:val="20"/>
          <w:szCs w:val="20"/>
          <w:color w:val="auto"/>
        </w:rPr>
      </w:pPr>
      <w:r>
        <w:rPr>
          <w:rFonts w:ascii="Times New Roman" w:cs="Times New Roman" w:eastAsia="Times New Roman" w:hAnsi="Times New Roman"/>
          <w:sz w:val="14"/>
          <w:szCs w:val="14"/>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24" w:lineRule="exact"/>
        <w:rPr>
          <w:sz w:val="20"/>
          <w:szCs w:val="20"/>
          <w:color w:val="auto"/>
        </w:rPr>
      </w:pPr>
    </w:p>
    <w:p>
      <w:pPr>
        <w:ind w:left="1320" w:right="459"/>
        <w:spacing w:after="0" w:line="287" w:lineRule="auto"/>
        <w:rPr>
          <w:sz w:val="20"/>
          <w:szCs w:val="20"/>
          <w:color w:val="auto"/>
        </w:rPr>
      </w:pPr>
      <w:r>
        <w:rPr>
          <w:rFonts w:ascii="Times New Roman" w:cs="Times New Roman" w:eastAsia="Times New Roman" w:hAnsi="Times New Roman"/>
          <w:sz w:val="14"/>
          <w:szCs w:val="14"/>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The depositary will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distribute the property to you and will sell the property if:</w:t>
      </w:r>
    </w:p>
    <w:p>
      <w:pPr>
        <w:spacing w:after="0" w:line="106" w:lineRule="exact"/>
        <w:rPr>
          <w:sz w:val="20"/>
          <w:szCs w:val="20"/>
          <w:color w:val="auto"/>
        </w:rPr>
      </w:pPr>
    </w:p>
    <w:p>
      <w:pPr>
        <w:ind w:left="2080" w:hanging="340"/>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request that the property be distributed to you or if we request that the property not be distributed to you;</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deliver satisfactory documents to the depositary; or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determines that all or a portion of the distribution to you is not reasonably practicable.</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proceeds of such a sale will be distributed to holders as in the case of a cash distribution.</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96" w:lineRule="exact"/>
        <w:rPr>
          <w:sz w:val="20"/>
          <w:szCs w:val="20"/>
          <w:color w:val="auto"/>
        </w:rPr>
      </w:pPr>
    </w:p>
    <w:p>
      <w:pPr>
        <w:ind w:left="1320" w:right="239"/>
        <w:spacing w:after="0" w:line="287" w:lineRule="auto"/>
        <w:rPr>
          <w:sz w:val="20"/>
          <w:szCs w:val="20"/>
          <w:color w:val="auto"/>
        </w:rPr>
      </w:pPr>
      <w:r>
        <w:rPr>
          <w:rFonts w:ascii="Times New Roman" w:cs="Times New Roman" w:eastAsia="Times New Roman" w:hAnsi="Times New Roman"/>
          <w:sz w:val="14"/>
          <w:szCs w:val="14"/>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24"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as the depositary may determine.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Changes Affecting Ordinary Shares</w:t>
      </w:r>
    </w:p>
    <w:p>
      <w:pPr>
        <w:spacing w:after="0" w:line="96" w:lineRule="exact"/>
        <w:rPr>
          <w:sz w:val="20"/>
          <w:szCs w:val="20"/>
          <w:color w:val="auto"/>
        </w:rPr>
      </w:pPr>
    </w:p>
    <w:p>
      <w:pPr>
        <w:jc w:val="both"/>
        <w:ind w:left="1320" w:right="199"/>
        <w:spacing w:after="0" w:line="270" w:lineRule="auto"/>
        <w:rPr>
          <w:sz w:val="20"/>
          <w:szCs w:val="20"/>
          <w:color w:val="auto"/>
        </w:rPr>
      </w:pPr>
      <w:r>
        <w:rPr>
          <w:rFonts w:ascii="Times New Roman" w:cs="Times New Roman" w:eastAsia="Times New Roman" w:hAnsi="Times New Roman"/>
          <w:sz w:val="14"/>
          <w:szCs w:val="14"/>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w:t>
      </w:r>
    </w:p>
    <w:p>
      <w:pPr>
        <w:spacing w:after="0" w:line="136"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Issuance of ADSs upon Deposit of Ordinary Shares</w:t>
      </w:r>
    </w:p>
    <w:p>
      <w:pPr>
        <w:spacing w:after="0" w:line="96" w:lineRule="exact"/>
        <w:rPr>
          <w:sz w:val="20"/>
          <w:szCs w:val="20"/>
          <w:color w:val="auto"/>
        </w:rPr>
      </w:pPr>
    </w:p>
    <w:p>
      <w:pPr>
        <w:ind w:left="1320" w:right="559"/>
        <w:spacing w:after="0" w:line="287" w:lineRule="auto"/>
        <w:rPr>
          <w:sz w:val="20"/>
          <w:szCs w:val="20"/>
          <w:color w:val="auto"/>
        </w:rPr>
      </w:pPr>
      <w:r>
        <w:rPr>
          <w:rFonts w:ascii="Times New Roman" w:cs="Times New Roman" w:eastAsia="Times New Roman" w:hAnsi="Times New Roman"/>
          <w:sz w:val="14"/>
          <w:szCs w:val="14"/>
          <w:color w:val="auto"/>
        </w:rPr>
        <w:t>Upon completion of an offering of ordinary shares pursuant to this prospectus, the ordinary shares being offered pursuant to the prospectus will be deposited by us with the custodian. Upon receipt of confirmation of such deposit, the depositary will issue ADSs pursuant to our instruction.</w:t>
      </w:r>
    </w:p>
    <w:p>
      <w:pPr>
        <w:spacing w:after="0" w:line="124" w:lineRule="exact"/>
        <w:rPr>
          <w:sz w:val="20"/>
          <w:szCs w:val="20"/>
          <w:color w:val="auto"/>
        </w:rPr>
      </w:pPr>
    </w:p>
    <w:p>
      <w:pPr>
        <w:ind w:left="1320" w:right="339"/>
        <w:spacing w:after="0" w:line="264" w:lineRule="auto"/>
        <w:rPr>
          <w:sz w:val="20"/>
          <w:szCs w:val="20"/>
          <w:color w:val="auto"/>
        </w:rPr>
      </w:pPr>
      <w:r>
        <w:rPr>
          <w:rFonts w:ascii="Times New Roman" w:cs="Times New Roman" w:eastAsia="Times New Roman" w:hAnsi="Times New Roman"/>
          <w:sz w:val="14"/>
          <w:szCs w:val="14"/>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40" w:lineRule="exact"/>
        <w:rPr>
          <w:sz w:val="20"/>
          <w:szCs w:val="20"/>
          <w:color w:val="auto"/>
        </w:rPr>
      </w:pPr>
    </w:p>
    <w:p>
      <w:pPr>
        <w:ind w:left="1320" w:right="379"/>
        <w:spacing w:after="0" w:line="287" w:lineRule="auto"/>
        <w:rPr>
          <w:sz w:val="20"/>
          <w:szCs w:val="20"/>
          <w:color w:val="auto"/>
        </w:rPr>
      </w:pPr>
      <w:r>
        <w:rPr>
          <w:rFonts w:ascii="Times New Roman" w:cs="Times New Roman" w:eastAsia="Times New Roman" w:hAnsi="Times New Roman"/>
          <w:sz w:val="14"/>
          <w:szCs w:val="14"/>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24" w:lineRule="exact"/>
        <w:rPr>
          <w:sz w:val="20"/>
          <w:szCs w:val="20"/>
          <w:color w:val="auto"/>
        </w:rPr>
      </w:pPr>
    </w:p>
    <w:p>
      <w:pPr>
        <w:ind w:left="1320" w:right="239"/>
        <w:spacing w:after="0" w:line="287" w:lineRule="auto"/>
        <w:rPr>
          <w:sz w:val="20"/>
          <w:szCs w:val="20"/>
          <w:color w:val="auto"/>
        </w:rPr>
      </w:pPr>
      <w:r>
        <w:rPr>
          <w:rFonts w:ascii="Times New Roman" w:cs="Times New Roman" w:eastAsia="Times New Roman" w:hAnsi="Times New Roman"/>
          <w:sz w:val="14"/>
          <w:szCs w:val="14"/>
          <w:color w:val="auto"/>
        </w:rPr>
        <w:t>When you make a deposit of ordinary shares, you will be responsible for transferring good and valid title to the depositary. As such, you will be deemed to represent and warrant that:</w:t>
      </w:r>
    </w:p>
    <w:p>
      <w:pPr>
        <w:spacing w:after="0" w:line="50" w:lineRule="exact"/>
        <w:rPr>
          <w:sz w:val="20"/>
          <w:szCs w:val="20"/>
          <w:color w:val="auto"/>
        </w:rPr>
      </w:pPr>
    </w:p>
    <w:p>
      <w:pPr>
        <w:ind w:left="2080" w:hanging="340"/>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duly authorized, validly issued, fully paid, non-assessable and legally obtained.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preemptive (and similar) rights, if any, with respect to such ordinary shares have been validly waived or exercised.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duly authorized to deposit the ordinary shares.</w:t>
      </w:r>
    </w:p>
    <w:p>
      <w:pPr>
        <w:spacing w:after="0" w:line="104" w:lineRule="exact"/>
        <w:rPr>
          <w:rFonts w:ascii="Times New Roman" w:cs="Times New Roman" w:eastAsia="Times New Roman" w:hAnsi="Times New Roman"/>
          <w:sz w:val="14"/>
          <w:szCs w:val="14"/>
          <w:color w:val="auto"/>
        </w:rPr>
      </w:pPr>
    </w:p>
    <w:p>
      <w:pPr>
        <w:ind w:left="2080" w:right="239" w:hanging="340"/>
        <w:spacing w:after="0" w:line="287" w:lineRule="auto"/>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presented for deposit have not been stripped of any rights or entitlements.</w:t>
      </w:r>
    </w:p>
    <w:p>
      <w:pPr>
        <w:spacing w:after="0" w:line="179" w:lineRule="exact"/>
        <w:rPr>
          <w:sz w:val="20"/>
          <w:szCs w:val="20"/>
          <w:color w:val="auto"/>
        </w:rPr>
      </w:pPr>
    </w:p>
    <w:p>
      <w:pPr>
        <w:ind w:left="1320" w:right="659"/>
        <w:spacing w:after="0" w:line="287" w:lineRule="auto"/>
        <w:rPr>
          <w:sz w:val="20"/>
          <w:szCs w:val="20"/>
          <w:color w:val="auto"/>
        </w:rPr>
      </w:pPr>
      <w:r>
        <w:rPr>
          <w:rFonts w:ascii="Times New Roman" w:cs="Times New Roman" w:eastAsia="Times New Roman" w:hAnsi="Times New Roman"/>
          <w:sz w:val="14"/>
          <w:szCs w:val="14"/>
          <w:color w:val="auto"/>
        </w:rPr>
        <w:t>If any of the representations or warranties are incorrect in any way, we and the depositary may, at your cost and expense, take any and all actions necessary to correct the consequences of the misrepresentations.</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Combination, and Split Up of ADRs</w:t>
      </w:r>
    </w:p>
    <w:p>
      <w:pPr>
        <w:spacing w:after="0" w:line="96" w:lineRule="exact"/>
        <w:rPr>
          <w:sz w:val="20"/>
          <w:szCs w:val="20"/>
          <w:color w:val="auto"/>
        </w:rPr>
      </w:pPr>
    </w:p>
    <w:p>
      <w:pPr>
        <w:ind w:left="1320" w:right="419"/>
        <w:spacing w:after="0" w:line="287" w:lineRule="auto"/>
        <w:rPr>
          <w:sz w:val="20"/>
          <w:szCs w:val="20"/>
          <w:color w:val="auto"/>
        </w:rPr>
      </w:pPr>
      <w:r>
        <w:rPr>
          <w:rFonts w:ascii="Times New Roman" w:cs="Times New Roman" w:eastAsia="Times New Roman" w:hAnsi="Times New Roman"/>
          <w:sz w:val="14"/>
          <w:szCs w:val="14"/>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50" w:lineRule="exact"/>
        <w:rPr>
          <w:sz w:val="20"/>
          <w:szCs w:val="20"/>
          <w:color w:val="auto"/>
        </w:rPr>
      </w:pPr>
    </w:p>
    <w:p>
      <w:pPr>
        <w:ind w:left="5580" w:right="2719" w:hanging="3840"/>
        <w:spacing w:after="0" w:line="461" w:lineRule="auto"/>
        <w:tabs>
          <w:tab w:leader="none" w:pos="208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the surrendered ADR is properly endorsed or otherwise in proper form for transfer; 39</w:t>
      </w:r>
    </w:p>
    <w:p>
      <w:pPr>
        <w:sectPr>
          <w:pgSz w:w="11900" w:h="16838" w:orient="portrait"/>
          <w:cols w:equalWidth="0" w:num="1">
            <w:col w:w="10159"/>
          </w:cols>
          <w:pgMar w:left="300" w:top="38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hanging="340"/>
        <w:spacing w:after="0"/>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such proof of identity and genuineness of signatures as the depositary deems appropriate;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any transfer stamps required by the State of New York or the United States; and</w:t>
      </w:r>
    </w:p>
    <w:p>
      <w:pPr>
        <w:spacing w:after="0" w:line="104" w:lineRule="exact"/>
        <w:rPr>
          <w:rFonts w:ascii="Times New Roman" w:cs="Times New Roman" w:eastAsia="Times New Roman" w:hAnsi="Times New Roman"/>
          <w:sz w:val="14"/>
          <w:szCs w:val="14"/>
          <w:color w:val="auto"/>
        </w:rPr>
      </w:pPr>
    </w:p>
    <w:p>
      <w:pPr>
        <w:ind w:left="2080" w:right="619" w:hanging="340"/>
        <w:spacing w:after="0" w:line="287" w:lineRule="auto"/>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all applicable fees, charges, expenses, taxes and other government charges payable by ADR holders pursuant to the terms of the deposit agreement, upon the transfer of ADRs.</w:t>
      </w:r>
    </w:p>
    <w:p>
      <w:pPr>
        <w:spacing w:after="0" w:line="124"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Withdrawal of Ordinary Shares Upon Cancellation of ADSs</w:t>
      </w:r>
    </w:p>
    <w:p>
      <w:pPr>
        <w:spacing w:after="0" w:line="96"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43"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You will have the right to withdraw the securities represented by your ADSs at any time except for:</w:t>
      </w:r>
    </w:p>
    <w:p>
      <w:pPr>
        <w:spacing w:after="0" w:line="104" w:lineRule="exact"/>
        <w:rPr>
          <w:sz w:val="20"/>
          <w:szCs w:val="20"/>
          <w:color w:val="auto"/>
        </w:rPr>
      </w:pPr>
    </w:p>
    <w:p>
      <w:pPr>
        <w:ind w:left="2080" w:right="579" w:hanging="340"/>
        <w:spacing w:after="0" w:line="287" w:lineRule="auto"/>
        <w:tabs>
          <w:tab w:leader="none" w:pos="2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delays that may arise because (i) the transfer books for the ordinary shares or ADSs are closed, or (ii) ordinary shares are immobilized on account of a shareholders’ meeting or a payment of dividends.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pay fees, taxes and similar charges.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because of laws or regulations applicable to ADSs or the withdrawal of securities on deposit.</w:t>
      </w:r>
    </w:p>
    <w:p>
      <w:pPr>
        <w:spacing w:after="0" w:line="179" w:lineRule="exact"/>
        <w:rPr>
          <w:sz w:val="20"/>
          <w:szCs w:val="20"/>
          <w:color w:val="auto"/>
        </w:rPr>
      </w:pPr>
    </w:p>
    <w:p>
      <w:pPr>
        <w:ind w:left="1320" w:right="239"/>
        <w:spacing w:after="0" w:line="287" w:lineRule="auto"/>
        <w:rPr>
          <w:sz w:val="20"/>
          <w:szCs w:val="20"/>
          <w:color w:val="auto"/>
        </w:rPr>
      </w:pPr>
      <w:r>
        <w:rPr>
          <w:rFonts w:ascii="Times New Roman" w:cs="Times New Roman" w:eastAsia="Times New Roman" w:hAnsi="Times New Roman"/>
          <w:sz w:val="14"/>
          <w:szCs w:val="14"/>
          <w:color w:val="auto"/>
        </w:rPr>
        <w:t>The deposit agreement may not be modified to impair your right to withdraw the securities represented by your ADSs except to comply with mandatory provisions of law.</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6" w:lineRule="exact"/>
        <w:rPr>
          <w:sz w:val="20"/>
          <w:szCs w:val="20"/>
          <w:color w:val="auto"/>
        </w:rPr>
      </w:pPr>
    </w:p>
    <w:p>
      <w:pPr>
        <w:ind w:left="1320" w:right="259"/>
        <w:spacing w:after="0" w:line="270" w:lineRule="auto"/>
        <w:rPr>
          <w:sz w:val="20"/>
          <w:szCs w:val="20"/>
          <w:color w:val="auto"/>
        </w:rPr>
      </w:pPr>
      <w:r>
        <w:rPr>
          <w:rFonts w:ascii="Times New Roman" w:cs="Times New Roman" w:eastAsia="Times New Roman" w:hAnsi="Times New Roman"/>
          <w:sz w:val="14"/>
          <w:szCs w:val="14"/>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entitled “Description of Share Capital” and “Limitations Affecting Shareholders of a French Company.”</w:t>
      </w:r>
    </w:p>
    <w:p>
      <w:pPr>
        <w:spacing w:after="0" w:line="136" w:lineRule="exact"/>
        <w:rPr>
          <w:sz w:val="20"/>
          <w:szCs w:val="20"/>
          <w:color w:val="auto"/>
        </w:rPr>
      </w:pPr>
    </w:p>
    <w:p>
      <w:pPr>
        <w:ind w:left="1320" w:right="359"/>
        <w:spacing w:after="0" w:line="270" w:lineRule="auto"/>
        <w:rPr>
          <w:sz w:val="20"/>
          <w:szCs w:val="20"/>
          <w:color w:val="auto"/>
        </w:rPr>
      </w:pPr>
      <w:r>
        <w:rPr>
          <w:rFonts w:ascii="Times New Roman" w:cs="Times New Roman" w:eastAsia="Times New Roman" w:hAnsi="Times New Roman"/>
          <w:sz w:val="14"/>
          <w:szCs w:val="14"/>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19"/>
        <w:spacing w:after="0" w:line="287" w:lineRule="auto"/>
        <w:rPr>
          <w:sz w:val="20"/>
          <w:szCs w:val="20"/>
          <w:color w:val="auto"/>
        </w:rPr>
      </w:pPr>
      <w:r>
        <w:rPr>
          <w:rFonts w:ascii="Times New Roman" w:cs="Times New Roman" w:eastAsia="Times New Roman" w:hAnsi="Times New Roman"/>
          <w:sz w:val="14"/>
          <w:szCs w:val="14"/>
          <w:color w:val="auto"/>
        </w:rPr>
        <w:t>If the depositary timely receives voting instructions from a holder of ADSs, it will endeavor to vote the securities (in person or by proxy) represented by the holder’s ADSs in accordance with such voting instructions.</w:t>
      </w:r>
    </w:p>
    <w:p>
      <w:pPr>
        <w:spacing w:after="0" w:line="124" w:lineRule="exact"/>
        <w:rPr>
          <w:sz w:val="20"/>
          <w:szCs w:val="20"/>
          <w:color w:val="auto"/>
        </w:rPr>
      </w:pPr>
    </w:p>
    <w:p>
      <w:pPr>
        <w:ind w:left="1320" w:right="299"/>
        <w:spacing w:after="0" w:line="264" w:lineRule="auto"/>
        <w:rPr>
          <w:sz w:val="20"/>
          <w:szCs w:val="20"/>
          <w:color w:val="auto"/>
        </w:rPr>
      </w:pPr>
      <w:r>
        <w:rPr>
          <w:rFonts w:ascii="Times New Roman" w:cs="Times New Roman" w:eastAsia="Times New Roman" w:hAnsi="Times New Roman"/>
          <w:sz w:val="14"/>
          <w:szCs w:val="14"/>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Fees and Charges</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an ADS holder, you will be required to pay the following fees under the terms of the deposit agreement:</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1"/>
                <w:szCs w:val="11"/>
                <w:b w:val="1"/>
                <w:bCs w:val="1"/>
                <w:color w:val="auto"/>
              </w:rPr>
              <w:t>Service</w:t>
            </w:r>
          </w:p>
        </w:tc>
        <w:tc>
          <w:tcPr>
            <w:tcW w:w="180" w:type="dxa"/>
            <w:vAlign w:val="bottom"/>
          </w:tcPr>
          <w:p>
            <w:pPr>
              <w:spacing w:after="0"/>
              <w:rPr>
                <w:sz w:val="12"/>
                <w:szCs w:val="12"/>
                <w:color w:val="auto"/>
              </w:rPr>
            </w:pPr>
          </w:p>
        </w:tc>
        <w:tc>
          <w:tcPr>
            <w:tcW w:w="4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1"/>
                <w:szCs w:val="11"/>
                <w:b w:val="1"/>
                <w:bCs w:val="1"/>
                <w:color w:val="auto"/>
              </w:rPr>
              <w:t>Fees</w:t>
            </w:r>
          </w:p>
        </w:tc>
      </w:tr>
      <w:tr>
        <w:trPr>
          <w:trHeight w:val="146"/>
        </w:trPr>
        <w:tc>
          <w:tcPr>
            <w:tcW w:w="20" w:type="dxa"/>
            <w:vAlign w:val="bottom"/>
          </w:tcPr>
          <w:p>
            <w:pPr>
              <w:spacing w:after="0"/>
              <w:rPr>
                <w:sz w:val="12"/>
                <w:szCs w:val="12"/>
                <w:color w:val="auto"/>
              </w:rPr>
            </w:pPr>
          </w:p>
        </w:tc>
        <w:tc>
          <w:tcPr>
            <w:tcW w:w="44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Issuance of ADSs (e.g., an issuance of ADS upon a deposit of ordinary</w:t>
            </w:r>
          </w:p>
        </w:tc>
        <w:tc>
          <w:tcPr>
            <w:tcW w:w="180" w:type="dxa"/>
            <w:vAlign w:val="bottom"/>
          </w:tcPr>
          <w:p>
            <w:pPr>
              <w:spacing w:after="0"/>
              <w:rPr>
                <w:sz w:val="12"/>
                <w:szCs w:val="12"/>
                <w:color w:val="auto"/>
              </w:rPr>
            </w:pPr>
          </w:p>
        </w:tc>
        <w:tc>
          <w:tcPr>
            <w:tcW w:w="40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Up to U.S. 5¢ per ADS issued</w:t>
            </w:r>
          </w:p>
        </w:tc>
      </w:tr>
      <w:tr>
        <w:trPr>
          <w:trHeight w:val="17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upon a change in the ADS(s)-to-ordinary share ratio, or for any other</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7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reason), excluding ADS issuances as a result of distributions of ordinary</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4"/>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Cancellation of ADSs (e.g., a cancellation of ADSs for delivery of deposited</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cancelled</w:t>
            </w:r>
          </w:p>
        </w:tc>
      </w:tr>
      <w:tr>
        <w:trPr>
          <w:trHeight w:val="17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upon a change in the ADS(s)-to ordinary share ratio, or for any</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4"/>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reason)</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of cash dividends or other cash distributions (e.g., upon a sale of</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w:t>
            </w:r>
          </w:p>
        </w:tc>
      </w:tr>
      <w:tr>
        <w:trPr>
          <w:trHeight w:val="184"/>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rights and other entitlements)</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of ADSs pursuant to (i) share dividends or other free share</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w:t>
            </w:r>
          </w:p>
        </w:tc>
      </w:tr>
      <w:tr>
        <w:trPr>
          <w:trHeight w:val="184"/>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distributions, or (ii) exercise of rights to purchase additional ADSs</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of securities other than ADSs or rights to purchase additional</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w:t>
            </w:r>
          </w:p>
        </w:tc>
      </w:tr>
      <w:tr>
        <w:trPr>
          <w:trHeight w:val="184"/>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ADSs (e.g., upon a spin-off)</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ADS Services</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 on the applicable record date(s)</w:t>
            </w:r>
          </w:p>
        </w:tc>
      </w:tr>
      <w:tr>
        <w:trPr>
          <w:trHeight w:val="184"/>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established by the depositary</w:t>
            </w:r>
          </w:p>
        </w:tc>
      </w:tr>
      <w:tr>
        <w:trPr>
          <w:trHeight w:val="238"/>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Registration of ADS transfers (e.g., upon a registration of the transfer of</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(or fraction thereof) transferred</w:t>
            </w:r>
          </w:p>
        </w:tc>
      </w:tr>
      <w:tr>
        <w:trPr>
          <w:trHeight w:val="17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registered ownership of ADSs, upon a transfer of ADSs into DTC and </w:t>
            </w:r>
            <w:r>
              <w:rPr>
                <w:rFonts w:ascii="Times New Roman" w:cs="Times New Roman" w:eastAsia="Times New Roman" w:hAnsi="Times New Roman"/>
                <w:sz w:val="14"/>
                <w:szCs w:val="14"/>
                <w:i w:val="1"/>
                <w:iCs w:val="1"/>
                <w:color w:val="auto"/>
              </w:rPr>
              <w:t>vice</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6"/>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versa</w:t>
            </w:r>
            <w:r>
              <w:rPr>
                <w:rFonts w:ascii="Times New Roman" w:cs="Times New Roman" w:eastAsia="Times New Roman" w:hAnsi="Times New Roman"/>
                <w:sz w:val="14"/>
                <w:szCs w:val="14"/>
                <w:color w:val="auto"/>
              </w:rPr>
              <w:t>, or for any other reason)</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 ADSs of one series for ADSs of another series (e.g., upon</w:t>
            </w: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(or fraction thereof) converted</w:t>
            </w:r>
          </w:p>
        </w:tc>
      </w:tr>
      <w:tr>
        <w:trPr>
          <w:trHeight w:val="17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 Partial Entitlement ADSs for Full Entitlement ADSs, or upon</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 Restricted ADSs (each as defined in the Deposit Agreement)</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6"/>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into freely transferable ADSs, and </w:t>
            </w:r>
            <w:r>
              <w:rPr>
                <w:rFonts w:ascii="Times New Roman" w:cs="Times New Roman" w:eastAsia="Times New Roman" w:hAnsi="Times New Roman"/>
                <w:sz w:val="14"/>
                <w:szCs w:val="14"/>
                <w:i w:val="1"/>
                <w:iCs w:val="1"/>
                <w:color w:val="auto"/>
              </w:rPr>
              <w:t>vice versa</w:t>
            </w: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r>
    </w:tbl>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an ADS holder, you will also be responsible to pay certain charges such as:</w:t>
      </w:r>
    </w:p>
    <w:p>
      <w:pPr>
        <w:spacing w:after="0" w:line="104" w:lineRule="exact"/>
        <w:rPr>
          <w:sz w:val="20"/>
          <w:szCs w:val="20"/>
          <w:color w:val="auto"/>
        </w:rPr>
      </w:pPr>
    </w:p>
    <w:p>
      <w:pPr>
        <w:ind w:left="2080" w:hanging="340"/>
        <w:spacing w:after="0"/>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(including applicable interest and penalties) and other governmental charges;</w:t>
      </w:r>
    </w:p>
    <w:p>
      <w:pPr>
        <w:spacing w:after="0" w:line="104" w:lineRule="exact"/>
        <w:rPr>
          <w:rFonts w:ascii="Times New Roman" w:cs="Times New Roman" w:eastAsia="Times New Roman" w:hAnsi="Times New Roman"/>
          <w:sz w:val="14"/>
          <w:szCs w:val="14"/>
          <w:color w:val="auto"/>
        </w:rPr>
      </w:pPr>
    </w:p>
    <w:p>
      <w:pPr>
        <w:ind w:left="2080" w:right="519" w:hanging="340"/>
        <w:spacing w:after="0" w:line="270" w:lineRule="auto"/>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hanging="340"/>
        <w:spacing w:after="0"/>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cable, telex and facsimile transmission and delivery expenses;</w:t>
      </w:r>
    </w:p>
    <w:p>
      <w:pPr>
        <w:spacing w:after="0" w:line="104" w:lineRule="exact"/>
        <w:rPr>
          <w:rFonts w:ascii="Times New Roman" w:cs="Times New Roman" w:eastAsia="Times New Roman" w:hAnsi="Times New Roman"/>
          <w:sz w:val="14"/>
          <w:szCs w:val="14"/>
          <w:color w:val="auto"/>
        </w:rPr>
      </w:pPr>
    </w:p>
    <w:p>
      <w:pPr>
        <w:ind w:left="2080" w:right="239" w:hanging="340"/>
        <w:spacing w:after="0" w:line="287" w:lineRule="auto"/>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expenses, spreads, taxes and other charges of the depositary and/or service providers (which may be a division, branch or affiliate of the depositary) in the conversion of foreign currency;</w:t>
      </w:r>
    </w:p>
    <w:p>
      <w:pPr>
        <w:spacing w:after="0" w:line="49" w:lineRule="exact"/>
        <w:rPr>
          <w:rFonts w:ascii="Times New Roman" w:cs="Times New Roman" w:eastAsia="Times New Roman" w:hAnsi="Times New Roman"/>
          <w:sz w:val="14"/>
          <w:szCs w:val="14"/>
          <w:color w:val="auto"/>
        </w:rPr>
      </w:pPr>
    </w:p>
    <w:p>
      <w:pPr>
        <w:ind w:left="2080" w:right="479" w:hanging="340"/>
        <w:spacing w:after="0" w:line="287" w:lineRule="auto"/>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charges, costs and expenses incurred by the depositary, the custodian, or any nominee in connection with the ADR program.</w:t>
      </w:r>
    </w:p>
    <w:p>
      <w:pPr>
        <w:spacing w:after="0" w:line="179" w:lineRule="exact"/>
        <w:rPr>
          <w:sz w:val="20"/>
          <w:szCs w:val="20"/>
          <w:color w:val="auto"/>
        </w:rPr>
      </w:pPr>
    </w:p>
    <w:p>
      <w:pPr>
        <w:ind w:left="1320" w:right="179"/>
        <w:spacing w:after="0" w:line="255" w:lineRule="auto"/>
        <w:rPr>
          <w:sz w:val="20"/>
          <w:szCs w:val="20"/>
          <w:color w:val="auto"/>
        </w:rPr>
      </w:pPr>
      <w:r>
        <w:rPr>
          <w:rFonts w:ascii="Times New Roman" w:cs="Times New Roman" w:eastAsia="Times New Roman" w:hAnsi="Times New Roman"/>
          <w:sz w:val="14"/>
          <w:szCs w:val="14"/>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50"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an offering of ADSs pursuant to this prospectus.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Amendments and Termination</w:t>
      </w:r>
    </w:p>
    <w:p>
      <w:pPr>
        <w:spacing w:after="0" w:line="96" w:lineRule="exact"/>
        <w:rPr>
          <w:sz w:val="20"/>
          <w:szCs w:val="20"/>
          <w:color w:val="auto"/>
        </w:rPr>
      </w:pPr>
    </w:p>
    <w:p>
      <w:pPr>
        <w:ind w:left="1320" w:right="299"/>
        <w:spacing w:after="0" w:line="259" w:lineRule="auto"/>
        <w:rPr>
          <w:sz w:val="20"/>
          <w:szCs w:val="20"/>
          <w:color w:val="auto"/>
        </w:rPr>
      </w:pPr>
      <w:r>
        <w:rPr>
          <w:rFonts w:ascii="Times New Roman" w:cs="Times New Roman" w:eastAsia="Times New Roman" w:hAnsi="Times New Roman"/>
          <w:sz w:val="14"/>
          <w:szCs w:val="14"/>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39"/>
        <w:spacing w:after="0" w:line="270" w:lineRule="auto"/>
        <w:rPr>
          <w:sz w:val="20"/>
          <w:szCs w:val="20"/>
          <w:color w:val="auto"/>
        </w:rPr>
      </w:pPr>
      <w:r>
        <w:rPr>
          <w:rFonts w:ascii="Times New Roman" w:cs="Times New Roman" w:eastAsia="Times New Roman" w:hAnsi="Times New Roman"/>
          <w:sz w:val="14"/>
          <w:szCs w:val="14"/>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36" w:lineRule="exact"/>
        <w:rPr>
          <w:sz w:val="20"/>
          <w:szCs w:val="20"/>
          <w:color w:val="auto"/>
        </w:rPr>
      </w:pPr>
    </w:p>
    <w:p>
      <w:pPr>
        <w:jc w:val="both"/>
        <w:ind w:left="1320" w:right="199"/>
        <w:spacing w:after="0" w:line="270" w:lineRule="auto"/>
        <w:rPr>
          <w:sz w:val="20"/>
          <w:szCs w:val="20"/>
          <w:color w:val="auto"/>
        </w:rPr>
      </w:pPr>
      <w:r>
        <w:rPr>
          <w:rFonts w:ascii="Times New Roman" w:cs="Times New Roman" w:eastAsia="Times New Roman" w:hAnsi="Times New Roman"/>
          <w:sz w:val="14"/>
          <w:szCs w:val="14"/>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6"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40"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Books of Depositary</w:t>
      </w:r>
    </w:p>
    <w:p>
      <w:pPr>
        <w:spacing w:after="0" w:line="96" w:lineRule="exact"/>
        <w:rPr>
          <w:sz w:val="20"/>
          <w:szCs w:val="20"/>
          <w:color w:val="auto"/>
        </w:rPr>
      </w:pPr>
    </w:p>
    <w:p>
      <w:pPr>
        <w:ind w:left="1320" w:right="279"/>
        <w:spacing w:after="0" w:line="287" w:lineRule="auto"/>
        <w:rPr>
          <w:sz w:val="20"/>
          <w:szCs w:val="20"/>
          <w:color w:val="auto"/>
        </w:rPr>
      </w:pPr>
      <w:r>
        <w:rPr>
          <w:rFonts w:ascii="Times New Roman" w:cs="Times New Roman" w:eastAsia="Times New Roman" w:hAnsi="Times New Roman"/>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320" w:right="299"/>
        <w:spacing w:after="0" w:line="287" w:lineRule="auto"/>
        <w:rPr>
          <w:sz w:val="20"/>
          <w:szCs w:val="20"/>
          <w:color w:val="auto"/>
        </w:rPr>
      </w:pPr>
      <w:r>
        <w:rPr>
          <w:rFonts w:ascii="Times New Roman" w:cs="Times New Roman" w:eastAsia="Times New Roman" w:hAnsi="Times New Roman"/>
          <w:sz w:val="14"/>
          <w:szCs w:val="14"/>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Transmission of Notices, Reports and Proxy Soliciting Material</w:t>
      </w:r>
    </w:p>
    <w:p>
      <w:pPr>
        <w:spacing w:after="0" w:line="96" w:lineRule="exact"/>
        <w:rPr>
          <w:sz w:val="20"/>
          <w:szCs w:val="20"/>
          <w:color w:val="auto"/>
        </w:rPr>
      </w:pPr>
    </w:p>
    <w:p>
      <w:pPr>
        <w:jc w:val="both"/>
        <w:ind w:left="1320" w:right="199"/>
        <w:spacing w:after="0" w:line="270"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also provide to you copies of those communications or otherwise make those communications available to you if we ask it to.</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Liabilities</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deposit agreement limits our obligations and the depositary’s obligations to you. Please note the following:</w:t>
      </w:r>
    </w:p>
    <w:p>
      <w:pPr>
        <w:spacing w:after="0" w:line="104" w:lineRule="exact"/>
        <w:rPr>
          <w:sz w:val="20"/>
          <w:szCs w:val="20"/>
          <w:color w:val="auto"/>
        </w:rPr>
      </w:pPr>
    </w:p>
    <w:p>
      <w:pPr>
        <w:ind w:left="2080" w:hanging="340"/>
        <w:spacing w:after="0"/>
        <w:tabs>
          <w:tab w:leader="none" w:pos="2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are obligated only to take the actions specifically stated in the deposit agreement without negligence or bad faith.</w:t>
      </w:r>
    </w:p>
    <w:p>
      <w:pPr>
        <w:spacing w:after="0" w:line="104" w:lineRule="exact"/>
        <w:rPr>
          <w:rFonts w:ascii="Times New Roman" w:cs="Times New Roman" w:eastAsia="Times New Roman" w:hAnsi="Times New Roman"/>
          <w:sz w:val="14"/>
          <w:szCs w:val="14"/>
          <w:color w:val="auto"/>
        </w:rPr>
      </w:pPr>
    </w:p>
    <w:p>
      <w:pPr>
        <w:ind w:left="2080" w:right="199" w:hanging="340"/>
        <w:spacing w:after="0" w:line="287" w:lineRule="auto"/>
        <w:tabs>
          <w:tab w:leader="none" w:pos="2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49" w:lineRule="exact"/>
        <w:rPr>
          <w:rFonts w:ascii="Times New Roman" w:cs="Times New Roman" w:eastAsia="Times New Roman" w:hAnsi="Times New Roman"/>
          <w:sz w:val="14"/>
          <w:szCs w:val="14"/>
          <w:color w:val="auto"/>
        </w:rPr>
      </w:pPr>
    </w:p>
    <w:p>
      <w:pPr>
        <w:ind w:left="2080" w:right="259" w:hanging="340"/>
        <w:spacing w:after="0" w:line="287" w:lineRule="auto"/>
        <w:tabs>
          <w:tab w:leader="none" w:pos="2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disclaims any liability for any failure to accurately determine the lawfulness or practicality of any action, for the content of any document forwarded to you on our behalf or for the</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right="299"/>
        <w:spacing w:after="0" w:line="264" w:lineRule="auto"/>
        <w:rPr>
          <w:sz w:val="20"/>
          <w:szCs w:val="20"/>
          <w:color w:val="auto"/>
        </w:rPr>
      </w:pPr>
      <w:r>
        <w:rPr>
          <w:rFonts w:ascii="Times New Roman" w:cs="Times New Roman" w:eastAsia="Times New Roman" w:hAnsi="Times New Roman"/>
          <w:sz w:val="14"/>
          <w:szCs w:val="14"/>
          <w:color w:val="auto"/>
        </w:rPr>
        <w:t>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66" w:lineRule="exact"/>
        <w:rPr>
          <w:sz w:val="20"/>
          <w:szCs w:val="20"/>
          <w:color w:val="auto"/>
        </w:rPr>
      </w:pPr>
    </w:p>
    <w:p>
      <w:pPr>
        <w:ind w:left="2080" w:right="319" w:hanging="340"/>
        <w:spacing w:after="0" w:line="287"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shall not be liable for acts or omissions of any successor depositary in connection with any matter arising wholly after the resignation or removal of the depositary.</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will not be obligated to perform any act that is inconsistent with the terms of the deposit agreement.</w:t>
      </w:r>
    </w:p>
    <w:p>
      <w:pPr>
        <w:spacing w:after="0" w:line="104" w:lineRule="exact"/>
        <w:rPr>
          <w:rFonts w:ascii="Times New Roman" w:cs="Times New Roman" w:eastAsia="Times New Roman" w:hAnsi="Times New Roman"/>
          <w:sz w:val="14"/>
          <w:szCs w:val="14"/>
          <w:color w:val="auto"/>
        </w:rPr>
      </w:pPr>
    </w:p>
    <w:p>
      <w:pPr>
        <w:ind w:left="2080" w:right="239" w:hanging="340"/>
        <w:spacing w:after="0" w:line="261"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by-laws, or any provision of or governing the securities on deposit, or by reason of any act of God or war or other circumstances beyond our control.</w:t>
      </w:r>
    </w:p>
    <w:p>
      <w:pPr>
        <w:spacing w:after="0" w:line="68" w:lineRule="exact"/>
        <w:rPr>
          <w:rFonts w:ascii="Times New Roman" w:cs="Times New Roman" w:eastAsia="Times New Roman" w:hAnsi="Times New Roman"/>
          <w:sz w:val="14"/>
          <w:szCs w:val="14"/>
          <w:color w:val="auto"/>
        </w:rPr>
      </w:pPr>
    </w:p>
    <w:p>
      <w:pPr>
        <w:ind w:left="2080" w:right="319" w:hanging="340"/>
        <w:spacing w:after="0" w:line="287"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any liability by reason of any exercise of, or failure to exercise, any discretion provided for in the deposit agreement or in our by-laws or in any provisions of or governing the securities on deposit.</w:t>
      </w:r>
    </w:p>
    <w:p>
      <w:pPr>
        <w:spacing w:after="0" w:line="49" w:lineRule="exact"/>
        <w:rPr>
          <w:rFonts w:ascii="Times New Roman" w:cs="Times New Roman" w:eastAsia="Times New Roman" w:hAnsi="Times New Roman"/>
          <w:sz w:val="14"/>
          <w:szCs w:val="14"/>
          <w:color w:val="auto"/>
        </w:rPr>
      </w:pPr>
    </w:p>
    <w:p>
      <w:pPr>
        <w:ind w:left="2080" w:right="299" w:hanging="340"/>
        <w:spacing w:after="0" w:line="270"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1" w:lineRule="exact"/>
        <w:rPr>
          <w:rFonts w:ascii="Times New Roman" w:cs="Times New Roman" w:eastAsia="Times New Roman" w:hAnsi="Times New Roman"/>
          <w:sz w:val="14"/>
          <w:szCs w:val="14"/>
          <w:color w:val="auto"/>
        </w:rPr>
      </w:pPr>
    </w:p>
    <w:p>
      <w:pPr>
        <w:ind w:left="2080" w:right="479" w:hanging="340"/>
        <w:spacing w:after="0" w:line="270"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also disclaim liability for the inability by a holder or beneficial holder to benefit from any distribution, offering, right or other benefit that is made available to holders of ordinary shares but is not, under the terms of the deposit agreement, made available to you.</w:t>
      </w:r>
    </w:p>
    <w:p>
      <w:pPr>
        <w:spacing w:after="0" w:line="61" w:lineRule="exact"/>
        <w:rPr>
          <w:rFonts w:ascii="Times New Roman" w:cs="Times New Roman" w:eastAsia="Times New Roman" w:hAnsi="Times New Roman"/>
          <w:sz w:val="14"/>
          <w:szCs w:val="14"/>
          <w:color w:val="auto"/>
        </w:rPr>
      </w:pPr>
    </w:p>
    <w:p>
      <w:pPr>
        <w:ind w:left="2080" w:right="479" w:hanging="340"/>
        <w:spacing w:after="0" w:line="287"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may rely without any liability upon any written notice, request or other document believed to be genuine and to have been signed or presented by the proper parties.</w:t>
      </w:r>
    </w:p>
    <w:p>
      <w:pPr>
        <w:spacing w:after="0" w:line="49" w:lineRule="exact"/>
        <w:rPr>
          <w:rFonts w:ascii="Times New Roman" w:cs="Times New Roman" w:eastAsia="Times New Roman" w:hAnsi="Times New Roman"/>
          <w:sz w:val="14"/>
          <w:szCs w:val="14"/>
          <w:color w:val="auto"/>
        </w:rPr>
      </w:pPr>
    </w:p>
    <w:p>
      <w:pPr>
        <w:ind w:left="2080" w:right="759" w:hanging="340"/>
        <w:spacing w:after="0" w:line="287" w:lineRule="auto"/>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also disclaim liability for any consequential or punitive damages for any breach of the terms of the deposit agreement.</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disclaimer of any Securities Act liability is intended by any provision of the deposit agreement.</w:t>
      </w:r>
    </w:p>
    <w:p>
      <w:pPr>
        <w:spacing w:after="0" w:line="179" w:lineRule="exact"/>
        <w:rPr>
          <w:sz w:val="20"/>
          <w:szCs w:val="20"/>
          <w:color w:val="auto"/>
        </w:rPr>
      </w:pPr>
    </w:p>
    <w:p>
      <w:pPr>
        <w:ind w:left="1320" w:right="259"/>
        <w:spacing w:after="0" w:line="287" w:lineRule="auto"/>
        <w:rPr>
          <w:sz w:val="20"/>
          <w:szCs w:val="20"/>
          <w:color w:val="auto"/>
        </w:rPr>
      </w:pPr>
      <w:r>
        <w:rPr>
          <w:rFonts w:ascii="Times New Roman" w:cs="Times New Roman" w:eastAsia="Times New Roman" w:hAnsi="Times New Roman"/>
          <w:sz w:val="14"/>
          <w:szCs w:val="14"/>
          <w:color w:val="auto"/>
        </w:rPr>
        <w:t>Nothing in the deposit agreement gives rise to a partnership or joint venture, or establishes a fiduciary relationship, among us, the depositary and you as ADS holder.</w:t>
      </w:r>
    </w:p>
    <w:p>
      <w:pPr>
        <w:spacing w:after="0" w:line="124" w:lineRule="exact"/>
        <w:rPr>
          <w:sz w:val="20"/>
          <w:szCs w:val="20"/>
          <w:color w:val="auto"/>
        </w:rPr>
      </w:pPr>
    </w:p>
    <w:p>
      <w:pPr>
        <w:ind w:left="1320" w:right="259"/>
        <w:spacing w:after="0" w:line="270" w:lineRule="auto"/>
        <w:rPr>
          <w:sz w:val="20"/>
          <w:szCs w:val="20"/>
          <w:color w:val="auto"/>
        </w:rPr>
      </w:pPr>
      <w:r>
        <w:rPr>
          <w:rFonts w:ascii="Times New Roman" w:cs="Times New Roman" w:eastAsia="Times New Roman" w:hAnsi="Times New Roman"/>
          <w:sz w:val="14"/>
          <w:szCs w:val="14"/>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34" w:lineRule="exact"/>
        <w:rPr>
          <w:sz w:val="20"/>
          <w:szCs w:val="20"/>
          <w:color w:val="auto"/>
        </w:rPr>
      </w:pPr>
    </w:p>
    <w:p>
      <w:pPr>
        <w:ind w:left="1320" w:right="399"/>
        <w:spacing w:after="0" w:line="262" w:lineRule="auto"/>
        <w:rPr>
          <w:sz w:val="20"/>
          <w:szCs w:val="20"/>
          <w:color w:val="auto"/>
        </w:rPr>
      </w:pPr>
      <w:r>
        <w:rPr>
          <w:rFonts w:ascii="Times New Roman" w:cs="Times New Roman" w:eastAsia="Times New Roman" w:hAnsi="Times New Roman"/>
          <w:sz w:val="14"/>
          <w:szCs w:val="14"/>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 any event, you will not be deemed, by agreeing to the terms of the deposit agreement, to have waived our or the depositary’s compliance with U.S.</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federal securities laws and the rules and regulations promulgated thereunder. In fact, you cannot waive our or the depositary’s compliance with U.S.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federal securities laws and the rules and regulations promulgated thereunder.</w:t>
      </w:r>
    </w:p>
    <w:p>
      <w:pPr>
        <w:spacing w:after="0" w:line="2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96"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40" w:lineRule="exact"/>
        <w:rPr>
          <w:sz w:val="20"/>
          <w:szCs w:val="20"/>
          <w:color w:val="auto"/>
        </w:rPr>
      </w:pPr>
    </w:p>
    <w:p>
      <w:pPr>
        <w:ind w:left="1320" w:right="319"/>
        <w:spacing w:after="0" w:line="261" w:lineRule="auto"/>
        <w:rPr>
          <w:sz w:val="20"/>
          <w:szCs w:val="20"/>
          <w:color w:val="auto"/>
        </w:rPr>
      </w:pPr>
      <w:r>
        <w:rPr>
          <w:rFonts w:ascii="Times New Roman" w:cs="Times New Roman" w:eastAsia="Times New Roman" w:hAnsi="Times New Roman"/>
          <w:sz w:val="14"/>
          <w:szCs w:val="14"/>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Foreign Currency Conversion</w:t>
      </w:r>
    </w:p>
    <w:p>
      <w:pPr>
        <w:spacing w:after="0" w:line="96" w:lineRule="exact"/>
        <w:rPr>
          <w:sz w:val="20"/>
          <w:szCs w:val="20"/>
          <w:color w:val="auto"/>
        </w:rPr>
      </w:pPr>
    </w:p>
    <w:p>
      <w:pPr>
        <w:ind w:left="1320" w:right="299"/>
        <w:spacing w:after="0" w:line="270" w:lineRule="auto"/>
        <w:rPr>
          <w:sz w:val="20"/>
          <w:szCs w:val="20"/>
          <w:color w:val="auto"/>
        </w:rPr>
      </w:pPr>
      <w:r>
        <w:rPr>
          <w:rFonts w:ascii="Times New Roman" w:cs="Times New Roman" w:eastAsia="Times New Roman" w:hAnsi="Times New Roman"/>
          <w:sz w:val="14"/>
          <w:szCs w:val="14"/>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36" w:lineRule="exact"/>
        <w:rPr>
          <w:sz w:val="20"/>
          <w:szCs w:val="20"/>
          <w:color w:val="auto"/>
        </w:rPr>
      </w:pPr>
    </w:p>
    <w:p>
      <w:pPr>
        <w:ind w:left="1320" w:right="299"/>
        <w:spacing w:after="0" w:line="287" w:lineRule="auto"/>
        <w:rPr>
          <w:sz w:val="20"/>
          <w:szCs w:val="20"/>
          <w:color w:val="auto"/>
        </w:rPr>
      </w:pPr>
      <w:r>
        <w:rPr>
          <w:rFonts w:ascii="Times New Roman" w:cs="Times New Roman" w:eastAsia="Times New Roman" w:hAnsi="Times New Roman"/>
          <w:sz w:val="14"/>
          <w:szCs w:val="14"/>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50" w:lineRule="exact"/>
        <w:rPr>
          <w:sz w:val="20"/>
          <w:szCs w:val="20"/>
          <w:color w:val="auto"/>
        </w:rPr>
      </w:pPr>
    </w:p>
    <w:p>
      <w:pPr>
        <w:ind w:left="2080" w:right="319" w:hanging="340"/>
        <w:spacing w:after="0" w:line="287" w:lineRule="auto"/>
        <w:tabs>
          <w:tab w:leader="none" w:pos="2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foreign currency to the extent practical and lawful and distribute the U.S. dollars to the holders for whom the conversion and distribution is lawful and practical.</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 the foreign currency to holders for whom the distribution is lawful and practical.</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the foreign currency (without liability for interest) for the applicable holders.</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Law/Waiver of Jury Trial</w:t>
      </w:r>
    </w:p>
    <w:p>
      <w:pPr>
        <w:spacing w:after="0" w:line="96" w:lineRule="exact"/>
        <w:rPr>
          <w:sz w:val="20"/>
          <w:szCs w:val="20"/>
          <w:color w:val="auto"/>
        </w:rPr>
      </w:pPr>
    </w:p>
    <w:p>
      <w:pPr>
        <w:ind w:left="1320" w:right="579"/>
        <w:spacing w:after="0" w:line="287" w:lineRule="auto"/>
        <w:rPr>
          <w:sz w:val="20"/>
          <w:szCs w:val="20"/>
          <w:color w:val="auto"/>
        </w:rPr>
      </w:pPr>
      <w:r>
        <w:rPr>
          <w:rFonts w:ascii="Times New Roman" w:cs="Times New Roman" w:eastAsia="Times New Roman" w:hAnsi="Times New Roman"/>
          <w:sz w:val="14"/>
          <w:szCs w:val="14"/>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24" w:lineRule="exact"/>
        <w:rPr>
          <w:sz w:val="20"/>
          <w:szCs w:val="20"/>
          <w:color w:val="auto"/>
        </w:rPr>
      </w:pPr>
    </w:p>
    <w:p>
      <w:pPr>
        <w:ind w:left="1320" w:right="339"/>
        <w:spacing w:after="0" w:line="270" w:lineRule="auto"/>
        <w:rPr>
          <w:sz w:val="20"/>
          <w:szCs w:val="20"/>
          <w:color w:val="auto"/>
        </w:rPr>
      </w:pPr>
      <w:r>
        <w:rPr>
          <w:rFonts w:ascii="Times New Roman" w:cs="Times New Roman" w:eastAsia="Times New Roman" w:hAnsi="Times New Roman"/>
          <w:sz w:val="14"/>
          <w:szCs w:val="14"/>
          <w:color w:val="auto"/>
        </w:rPr>
        <w:t>As an owner of ADSs, you irrevocably agree that any legal action arising out of the Deposit Agreement, the ADSs or the ADRs involving us or the Depositary may only be instituted in a state or federal court in the city of New York and irrevocably waive any objection to the laying of venue in, and irrevocably submit to the exclusive jurisdiction of, such courts in any such legal action.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right="839"/>
        <w:spacing w:after="0" w:line="271" w:lineRule="auto"/>
        <w:rPr>
          <w:sz w:val="20"/>
          <w:szCs w:val="20"/>
          <w:color w:val="auto"/>
        </w:rPr>
      </w:pPr>
      <w:r>
        <w:rPr>
          <w:rFonts w:ascii="Times New Roman" w:cs="Times New Roman" w:eastAsia="Times New Roman" w:hAnsi="Times New Roman"/>
          <w:sz w:val="14"/>
          <w:szCs w:val="14"/>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51"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w:t>
      </w:r>
      <w:r>
        <w:rPr>
          <w:rFonts w:ascii="Times New Roman" w:cs="Times New Roman" w:eastAsia="Times New Roman" w:hAnsi="Times New Roman"/>
          <w:sz w:val="14"/>
          <w:szCs w:val="14"/>
          <w:i w:val="1"/>
          <w:iCs w:val="1"/>
          <w:color w:val="auto"/>
        </w:rPr>
        <w:t>If we or the depositary opposed a jury trial demand based on the waiver, the court would determine whether the waiver was enforceable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9" w:lineRule="exact"/>
        <w:rPr>
          <w:sz w:val="20"/>
          <w:szCs w:val="20"/>
          <w:color w:val="auto"/>
        </w:rPr>
      </w:pPr>
    </w:p>
    <w:p>
      <w:pPr>
        <w:ind w:left="1320" w:right="199"/>
        <w:spacing w:after="0" w:line="271" w:lineRule="auto"/>
        <w:rPr>
          <w:sz w:val="20"/>
          <w:szCs w:val="20"/>
          <w:color w:val="auto"/>
        </w:rPr>
      </w:pPr>
      <w:r>
        <w:rPr>
          <w:rFonts w:ascii="Times New Roman" w:cs="Times New Roman" w:eastAsia="Times New Roman" w:hAnsi="Times New Roman"/>
          <w:sz w:val="14"/>
          <w:szCs w:val="14"/>
          <w:color w:val="auto"/>
        </w:rPr>
        <w:t>Warrants (</w:t>
      </w:r>
      <w:r>
        <w:rPr>
          <w:rFonts w:ascii="Times New Roman" w:cs="Times New Roman" w:eastAsia="Times New Roman" w:hAnsi="Times New Roman"/>
          <w:sz w:val="14"/>
          <w:szCs w:val="14"/>
          <w:i w:val="1"/>
          <w:iCs w:val="1"/>
          <w:color w:val="auto"/>
        </w:rPr>
        <w:t>bons de souscription d’actions)</w:t>
      </w:r>
      <w:r>
        <w:rPr>
          <w:rFonts w:ascii="Times New Roman" w:cs="Times New Roman" w:eastAsia="Times New Roman" w:hAnsi="Times New Roman"/>
          <w:sz w:val="14"/>
          <w:szCs w:val="14"/>
          <w:color w:val="auto"/>
        </w:rPr>
        <w:t xml:space="preserve"> may be offered separately or together with ordinary shares or ADSs. Each series of warrants will be issued under any separate warrant agreement to be entered into between us and one or more purchasers of such warrants. The applicable prospectus supplement will include details of the warrant agreements and terms and conditions covering the warrants being offered.</w:t>
      </w:r>
    </w:p>
    <w:p>
      <w:pPr>
        <w:spacing w:after="0" w:line="136" w:lineRule="exact"/>
        <w:rPr>
          <w:sz w:val="20"/>
          <w:szCs w:val="20"/>
          <w:color w:val="auto"/>
        </w:rPr>
      </w:pPr>
    </w:p>
    <w:p>
      <w:pPr>
        <w:ind w:left="1320" w:right="339"/>
        <w:spacing w:after="0" w:line="287" w:lineRule="auto"/>
        <w:rPr>
          <w:sz w:val="20"/>
          <w:szCs w:val="20"/>
          <w:color w:val="auto"/>
        </w:rPr>
      </w:pPr>
      <w:r>
        <w:rPr>
          <w:rFonts w:ascii="Times New Roman" w:cs="Times New Roman" w:eastAsia="Times New Roman" w:hAnsi="Times New Roman"/>
          <w:sz w:val="14"/>
          <w:szCs w:val="14"/>
          <w:color w:val="auto"/>
        </w:rPr>
        <w:t>The particular terms of each issue or series of warrants will be described in the related prospectus supplement. If warrants for the purchase of ordinary shares or ADSs are offered, the description will include, where applicable:</w:t>
      </w:r>
    </w:p>
    <w:p>
      <w:pPr>
        <w:spacing w:after="0" w:line="50" w:lineRule="exact"/>
        <w:rPr>
          <w:sz w:val="20"/>
          <w:szCs w:val="20"/>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aggregate number of warrants offered;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warrants will be offered;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 in which the warrants are denominated;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104" w:lineRule="exact"/>
        <w:rPr>
          <w:rFonts w:ascii="Times New Roman" w:cs="Times New Roman" w:eastAsia="Times New Roman" w:hAnsi="Times New Roman"/>
          <w:sz w:val="14"/>
          <w:szCs w:val="14"/>
          <w:color w:val="auto"/>
        </w:rPr>
      </w:pPr>
    </w:p>
    <w:p>
      <w:pPr>
        <w:ind w:left="2080" w:right="619" w:hanging="340"/>
        <w:spacing w:after="0" w:line="287" w:lineRule="auto"/>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or ADSs that may be purchased upon exercise of each warrant and the price at which and currency or currencies in which that amount of ordinary shares or ADSs may be purchased upon exercise of each warrant;</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or after which the warrants and the related ordinary shares or ADSs will be transferable separately;</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amount, if any, of warrants that may be exercised at any one time;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subject to redemption or call, and, if so, the terms of such redemption or call provisions; and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conditions and rights (or limitations on such rights) of the warrants.</w:t>
      </w:r>
    </w:p>
    <w:p>
      <w:pPr>
        <w:spacing w:after="0" w:line="179"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We reserve the right to set forth in a prospectus supplement or applicable free writing prospectus specific terms of the warrants that are not within the options and parameters set forth in this prospectus. In addition, to the extent that any particular terms and conditions of the warrants described in a prospectus supplement or applicable free writing prospectus differ from any of the terms described in this prospectus, the description of such terms and conditions set forth in this prospectus shall be deemed to have been superseded or supplemented by the description of such differing terms and conditions set forth in such prospectus supplement or applicable free writing prospectus with respect to such warrants.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81" w:lineRule="exact"/>
        <w:rPr>
          <w:sz w:val="20"/>
          <w:szCs w:val="20"/>
          <w:color w:val="auto"/>
        </w:rPr>
      </w:pPr>
    </w:p>
    <w:p>
      <w:pPr>
        <w:ind w:left="1320" w:right="419"/>
        <w:spacing w:after="0" w:line="287" w:lineRule="auto"/>
        <w:rPr>
          <w:sz w:val="20"/>
          <w:szCs w:val="20"/>
          <w:color w:val="auto"/>
        </w:rPr>
      </w:pPr>
      <w:r>
        <w:rPr>
          <w:rFonts w:ascii="Times New Roman" w:cs="Times New Roman" w:eastAsia="Times New Roman" w:hAnsi="Times New Roman"/>
          <w:sz w:val="14"/>
          <w:szCs w:val="14"/>
          <w:color w:val="auto"/>
        </w:rPr>
        <w:t>The material French and U.S. federal income tax consequences relating to the purchase, ownership and disposition of any of the securities offered by this prospectus will be set forth in the prospectus supplement pertaining to those securities.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1"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our ordinary shares, including ordinary shares represented by the ADSs, and certain other matters governed by French law will be passed on for us by Dechert (Paris) LLP, Paris, France. Unless otherwise indicated in any prospectus supplement, Cooley LLP, New York, New York, will be representing us in regards to certain matters governed by U.S. law in connection with any offering. Additional legal matters may be passed upon for any underwriters, dealers or agents by counsel that we will name in the applicable prospectus supplement.</w:t>
      </w:r>
    </w:p>
    <w:p>
      <w:pPr>
        <w:spacing w:after="0" w:line="3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by reference to our Annual Report on Form 20-F for the year ended December 31, 2024 have been so incorporated in reliance on the report, which contains an explanatory paragraph relating to the Company’s ability to continue as a going concern as described in Note 2 to the financial statements, of PricewaterhouseCoopers Audit, an independent registered public accounting firm, given on the authority of said firm as experts in accounting and auditing.</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offices of PricewaterhouseCoopers Audit are located at 63, rue de Villiers, 92208 Neuilly-sur-Seine, France.</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9" w:lineRule="exact"/>
        <w:rPr>
          <w:sz w:val="20"/>
          <w:szCs w:val="20"/>
          <w:color w:val="auto"/>
        </w:rPr>
      </w:pPr>
    </w:p>
    <w:p>
      <w:pPr>
        <w:ind w:left="1320" w:right="219"/>
        <w:spacing w:after="0" w:line="290" w:lineRule="auto"/>
        <w:rPr>
          <w:sz w:val="20"/>
          <w:szCs w:val="20"/>
          <w:color w:val="auto"/>
        </w:rPr>
      </w:pPr>
      <w:r>
        <w:rPr>
          <w:rFonts w:ascii="Times New Roman" w:cs="Times New Roman" w:eastAsia="Times New Roman" w:hAnsi="Times New Roman"/>
          <w:sz w:val="14"/>
          <w:szCs w:val="14"/>
          <w:color w:val="auto"/>
        </w:rPr>
        <w:t xml:space="preserve">We are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organized under the laws of France. The majority of our directors and officers are residents of countries other than the United States, and the majority of our assets are located outside of the United States. We have appointed an agent for service of process in the United States.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Accordingly, U.S. investors may find it difficult and may be unable:</w:t>
      </w:r>
    </w:p>
    <w:p>
      <w:pPr>
        <w:spacing w:after="0" w:line="104" w:lineRule="exact"/>
        <w:rPr>
          <w:sz w:val="20"/>
          <w:szCs w:val="20"/>
          <w:color w:val="auto"/>
        </w:rPr>
      </w:pPr>
    </w:p>
    <w:p>
      <w:pPr>
        <w:ind w:left="2080" w:right="639" w:hanging="340"/>
        <w:spacing w:after="0" w:line="287" w:lineRule="auto"/>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jurisdiction over us or our non-U.S. resident officers and directors in U.S. courts in actions predicated on the civil liability provisions of the U.S. federal securities laws;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judgments obtained in such actions against us or our non-U.S. resident officers and directors;</w:t>
      </w:r>
    </w:p>
    <w:p>
      <w:pPr>
        <w:spacing w:after="0" w:line="104" w:lineRule="exact"/>
        <w:rPr>
          <w:rFonts w:ascii="Times New Roman" w:cs="Times New Roman" w:eastAsia="Times New Roman" w:hAnsi="Times New Roman"/>
          <w:sz w:val="14"/>
          <w:szCs w:val="14"/>
          <w:color w:val="auto"/>
        </w:rPr>
      </w:pPr>
    </w:p>
    <w:p>
      <w:pPr>
        <w:ind w:left="2080" w:right="399" w:hanging="340"/>
        <w:spacing w:after="0" w:line="287" w:lineRule="auto"/>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bring an original action in a French court to enforce liabilities based upon the U.S. federal securities laws against us or our officers or directors; and</w:t>
      </w:r>
    </w:p>
    <w:p>
      <w:pPr>
        <w:spacing w:after="0" w:line="49" w:lineRule="exact"/>
        <w:rPr>
          <w:rFonts w:ascii="Times New Roman" w:cs="Times New Roman" w:eastAsia="Times New Roman" w:hAnsi="Times New Roman"/>
          <w:sz w:val="14"/>
          <w:szCs w:val="14"/>
          <w:color w:val="auto"/>
        </w:rPr>
      </w:pPr>
    </w:p>
    <w:p>
      <w:pPr>
        <w:ind w:left="2080" w:right="279" w:hanging="340"/>
        <w:spacing w:after="0" w:line="287" w:lineRule="auto"/>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against us or our officers or directors in non-U.S. courts, including French courts, judgments of U.S. courts predicated upon the civil liability provisions of the U.S. federal securities laws.</w:t>
      </w:r>
    </w:p>
    <w:p>
      <w:pPr>
        <w:spacing w:after="0" w:line="124" w:lineRule="exact"/>
        <w:rPr>
          <w:sz w:val="20"/>
          <w:szCs w:val="20"/>
          <w:color w:val="auto"/>
        </w:rPr>
      </w:pPr>
    </w:p>
    <w:p>
      <w:pPr>
        <w:ind w:left="1320" w:right="339"/>
        <w:spacing w:after="0" w:line="264" w:lineRule="auto"/>
        <w:rPr>
          <w:sz w:val="20"/>
          <w:szCs w:val="20"/>
          <w:color w:val="auto"/>
        </w:rPr>
      </w:pPr>
      <w:r>
        <w:rPr>
          <w:rFonts w:ascii="Times New Roman" w:cs="Times New Roman" w:eastAsia="Times New Roman" w:hAnsi="Times New Roman"/>
          <w:sz w:val="14"/>
          <w:szCs w:val="14"/>
          <w:color w:val="auto"/>
        </w:rPr>
        <w:t>In addition, actions in the United States under U.S. federal securities laws could be affected under certain circumstances by French Law No. 68-678 of July 26, 1968, as amended by French Law No. 80-538 of July 16, 1980 and French Ordinance No. 2000-916 of September 19, 2000 (relating to the communication of documents and information of an economic, commercial, industrial, financial or technical nature to foreign authorities or persons), which may preclude or restrict the obtaining of evidence in France or from French persons in connection with those actions.</w:t>
      </w:r>
    </w:p>
    <w:p>
      <w:pPr>
        <w:spacing w:after="0" w:line="140" w:lineRule="exact"/>
        <w:rPr>
          <w:sz w:val="20"/>
          <w:szCs w:val="20"/>
          <w:color w:val="auto"/>
        </w:rPr>
      </w:pPr>
    </w:p>
    <w:p>
      <w:pPr>
        <w:ind w:left="1320" w:right="259"/>
        <w:spacing w:after="0" w:line="256" w:lineRule="auto"/>
        <w:rPr>
          <w:sz w:val="20"/>
          <w:szCs w:val="20"/>
          <w:color w:val="auto"/>
        </w:rPr>
      </w:pPr>
      <w:r>
        <w:rPr>
          <w:rFonts w:ascii="Times New Roman" w:cs="Times New Roman" w:eastAsia="Times New Roman" w:hAnsi="Times New Roman"/>
          <w:sz w:val="14"/>
          <w:szCs w:val="14"/>
          <w:color w:val="auto"/>
        </w:rPr>
        <w:t>Nevertheless, a final judgment for the payment of money rendered by any federal or state court in the United States based on civil liability, whether or not predicated solely upon the U.S. federal securities laws, would be recognized and be enforceable in France provided that a French judge considers that this judgment meets the requirements under the French rules of international private law concerning the recognition and the enforcement of foreign judgments and is capable of being immediately enforced in the United States. A French court is therefore likely to grant the enforcement of a foreign judgment without a review of the substantive matters thereby adjudicated, only if: (1) the United States federal or state court has jurisdiction and the dispute is clearly connected to the territory of the court which rendered the judgement (2) the judgment is not tainted by fraud, (3) the judgment complies with French substantive and procedural rules of international public policy (ordre public international), including principles of due process (principe du contradictoire) and notably the right to a fair trial, and (4) the judgment is not irreconcilable with an earlier judgment rendered or recognized by a French court in the same or related matter. The French court may require all relevant supporting documents to be translated into the French language by a “sworn translator” (traducteur assermenté) as a condition to their admissibility into evidence or for purposes of enforcement.</w:t>
      </w:r>
    </w:p>
    <w:p>
      <w:pPr>
        <w:spacing w:after="0" w:line="150"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judgement awarding punitive and exemplary damages well above actual damages would be granted enforcement in France.</w:t>
      </w:r>
    </w:p>
    <w:p>
      <w:pPr>
        <w:spacing w:after="0" w:line="140" w:lineRule="exact"/>
        <w:rPr>
          <w:sz w:val="20"/>
          <w:szCs w:val="20"/>
          <w:color w:val="auto"/>
        </w:rPr>
      </w:pPr>
    </w:p>
    <w:p>
      <w:pPr>
        <w:ind w:left="1320" w:right="199"/>
        <w:spacing w:after="0" w:line="270" w:lineRule="auto"/>
        <w:rPr>
          <w:sz w:val="20"/>
          <w:szCs w:val="20"/>
          <w:color w:val="auto"/>
        </w:rPr>
      </w:pPr>
      <w:r>
        <w:rPr>
          <w:rFonts w:ascii="Times New Roman" w:cs="Times New Roman" w:eastAsia="Times New Roman" w:hAnsi="Times New Roman"/>
          <w:sz w:val="14"/>
          <w:szCs w:val="14"/>
          <w:color w:val="auto"/>
        </w:rPr>
        <w:t>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w:t>
      </w:r>
    </w:p>
    <w:p>
      <w:pPr>
        <w:spacing w:after="0" w:line="136" w:lineRule="exact"/>
        <w:rPr>
          <w:sz w:val="20"/>
          <w:szCs w:val="20"/>
          <w:color w:val="auto"/>
        </w:rPr>
      </w:pPr>
    </w:p>
    <w:p>
      <w:pPr>
        <w:ind w:left="1320" w:right="299"/>
        <w:spacing w:after="0" w:line="270" w:lineRule="auto"/>
        <w:rPr>
          <w:sz w:val="20"/>
          <w:szCs w:val="20"/>
          <w:color w:val="auto"/>
        </w:rPr>
      </w:pPr>
      <w:r>
        <w:rPr>
          <w:rFonts w:ascii="Times New Roman" w:cs="Times New Roman" w:eastAsia="Times New Roman" w:hAnsi="Times New Roman"/>
          <w:sz w:val="14"/>
          <w:szCs w:val="14"/>
          <w:color w:val="auto"/>
        </w:rPr>
        <w:t>Finally,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France,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and directors and our principal shareholders are exempt from the reporting and short-swing profit recovery provisions contained in Section 16 of the Exchange Act.</w:t>
      </w:r>
    </w:p>
    <w:p>
      <w:pPr>
        <w:spacing w:after="0" w:line="146" w:lineRule="exact"/>
        <w:rPr>
          <w:sz w:val="20"/>
          <w:szCs w:val="20"/>
          <w:color w:val="auto"/>
        </w:rPr>
      </w:pPr>
    </w:p>
    <w:p>
      <w:pPr>
        <w:ind w:left="1320" w:right="359"/>
        <w:spacing w:after="0" w:line="287" w:lineRule="auto"/>
        <w:rPr>
          <w:sz w:val="20"/>
          <w:szCs w:val="20"/>
          <w:color w:val="auto"/>
        </w:rPr>
      </w:pPr>
      <w:r>
        <w:rPr>
          <w:rFonts w:ascii="Times New Roman" w:cs="Times New Roman" w:eastAsia="Times New Roman" w:hAnsi="Times New Roman"/>
          <w:sz w:val="14"/>
          <w:szCs w:val="14"/>
          <w:color w:val="auto"/>
        </w:rPr>
        <w:t xml:space="preserve">The SEC maintains a web 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6" w:lineRule="exact"/>
        <w:rPr>
          <w:sz w:val="20"/>
          <w:szCs w:val="20"/>
          <w:color w:val="auto"/>
        </w:rPr>
      </w:pPr>
    </w:p>
    <w:p>
      <w:pPr>
        <w:ind w:left="1320" w:right="379"/>
        <w:spacing w:after="0" w:line="287" w:lineRule="auto"/>
        <w:rPr>
          <w:sz w:val="20"/>
          <w:szCs w:val="20"/>
          <w:color w:val="auto"/>
        </w:rPr>
      </w:pPr>
      <w:r>
        <w:rPr>
          <w:rFonts w:ascii="Times New Roman" w:cs="Times New Roman" w:eastAsia="Times New Roman" w:hAnsi="Times New Roman"/>
          <w:sz w:val="14"/>
          <w:szCs w:val="14"/>
          <w:color w:val="auto"/>
        </w:rPr>
        <w:t>We also maintain a website at www.abivax.com through which you can access our SEC filings. The information set forth on our website is not part of this prospectus.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81" w:lineRule="exact"/>
        <w:rPr>
          <w:sz w:val="20"/>
          <w:szCs w:val="20"/>
          <w:color w:val="auto"/>
        </w:rPr>
      </w:pPr>
    </w:p>
    <w:p>
      <w:pPr>
        <w:ind w:left="1320" w:right="239"/>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76" w:lineRule="exact"/>
        <w:rPr>
          <w:sz w:val="20"/>
          <w:szCs w:val="20"/>
          <w:color w:val="auto"/>
        </w:rPr>
      </w:pPr>
    </w:p>
    <w:p>
      <w:pPr>
        <w:ind w:left="2080" w:hanging="340"/>
        <w:spacing w:after="0"/>
        <w:tabs>
          <w:tab w:leader="none" w:pos="2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20-F for the fiscal year ended December 31, 2024, filed with the SEC on </w:t>
      </w:r>
      <w:hyperlink r:id="rId114">
        <w:r>
          <w:rPr>
            <w:rFonts w:ascii="Times New Roman" w:cs="Times New Roman" w:eastAsia="Times New Roman" w:hAnsi="Times New Roman"/>
            <w:sz w:val="14"/>
            <w:szCs w:val="14"/>
            <w:u w:val="single" w:color="auto"/>
            <w:color w:val="0000EE"/>
          </w:rPr>
          <w:t>March 24, 2025</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2080" w:right="299" w:hanging="340"/>
        <w:spacing w:after="0" w:line="270" w:lineRule="auto"/>
        <w:tabs>
          <w:tab w:leader="none" w:pos="2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Reports on Form 6-K filed with the SEC on </w:t>
      </w:r>
      <w:hyperlink r:id="rId115">
        <w:r>
          <w:rPr>
            <w:rFonts w:ascii="Times New Roman" w:cs="Times New Roman" w:eastAsia="Times New Roman" w:hAnsi="Times New Roman"/>
            <w:sz w:val="14"/>
            <w:szCs w:val="14"/>
            <w:u w:val="single" w:color="auto"/>
            <w:color w:val="0000EE"/>
          </w:rPr>
          <w:t>April 22, 2025</w:t>
        </w:r>
      </w:hyperlink>
      <w:r>
        <w:rPr>
          <w:rFonts w:ascii="Times New Roman" w:cs="Times New Roman" w:eastAsia="Times New Roman" w:hAnsi="Times New Roman"/>
          <w:sz w:val="14"/>
          <w:szCs w:val="14"/>
          <w:color w:val="auto"/>
        </w:rPr>
        <w:t xml:space="preserve">, </w:t>
      </w:r>
      <w:hyperlink r:id="rId116">
        <w:r>
          <w:rPr>
            <w:rFonts w:ascii="Times New Roman" w:cs="Times New Roman" w:eastAsia="Times New Roman" w:hAnsi="Times New Roman"/>
            <w:sz w:val="14"/>
            <w:szCs w:val="14"/>
            <w:u w:val="single" w:color="auto"/>
            <w:color w:val="0000EE"/>
          </w:rPr>
          <w:t>April 29, 2025</w:t>
        </w:r>
      </w:hyperlink>
      <w:r>
        <w:rPr>
          <w:rFonts w:ascii="Times New Roman" w:cs="Times New Roman" w:eastAsia="Times New Roman" w:hAnsi="Times New Roman"/>
          <w:sz w:val="14"/>
          <w:szCs w:val="14"/>
          <w:color w:val="auto"/>
        </w:rPr>
        <w:t xml:space="preserve">, </w:t>
      </w:r>
      <w:hyperlink r:id="rId117">
        <w:r>
          <w:rPr>
            <w:rFonts w:ascii="Times New Roman" w:cs="Times New Roman" w:eastAsia="Times New Roman" w:hAnsi="Times New Roman"/>
            <w:sz w:val="14"/>
            <w:szCs w:val="14"/>
            <w:u w:val="single" w:color="auto"/>
            <w:color w:val="0000EE"/>
          </w:rPr>
          <w:t xml:space="preserve">June 2, 2025 </w:t>
        </w:r>
      </w:hyperlink>
      <w:hyperlink r:id="rId118">
        <w:r>
          <w:rPr>
            <w:rFonts w:ascii="Times New Roman" w:cs="Times New Roman" w:eastAsia="Times New Roman" w:hAnsi="Times New Roman"/>
            <w:sz w:val="14"/>
            <w:szCs w:val="14"/>
            <w:u w:val="single" w:color="auto"/>
            <w:color w:val="auto"/>
          </w:rPr>
          <w:t xml:space="preserve">June </w:t>
        </w:r>
        <w:r>
          <w:rPr>
            <w:rFonts w:ascii="Times New Roman" w:cs="Times New Roman" w:eastAsia="Times New Roman" w:hAnsi="Times New Roman"/>
            <w:sz w:val="14"/>
            <w:szCs w:val="14"/>
            <w:u w:val="single" w:color="auto"/>
            <w:color w:val="0000EE"/>
          </w:rPr>
          <w:t>11, 2025</w:t>
        </w:r>
      </w:hyperlink>
      <w:r>
        <w:rPr>
          <w:rFonts w:ascii="Times New Roman" w:cs="Times New Roman" w:eastAsia="Times New Roman" w:hAnsi="Times New Roman"/>
          <w:sz w:val="14"/>
          <w:szCs w:val="14"/>
          <w:color w:val="auto"/>
        </w:rPr>
        <w:t xml:space="preserve">, and </w:t>
      </w:r>
      <w:hyperlink r:id="rId119">
        <w:r>
          <w:rPr>
            <w:rFonts w:ascii="Times New Roman" w:cs="Times New Roman" w:eastAsia="Times New Roman" w:hAnsi="Times New Roman"/>
            <w:sz w:val="14"/>
            <w:szCs w:val="14"/>
            <w:u w:val="single" w:color="auto"/>
            <w:color w:val="0000EE"/>
          </w:rPr>
          <w:t>July 22,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solely to the extent the information in such reports has been incorporated by reference into the registration statement of which this prospectus supplement forms a part; and</w:t>
      </w:r>
    </w:p>
    <w:p>
      <w:pPr>
        <w:spacing w:after="0" w:line="61" w:lineRule="exact"/>
        <w:rPr>
          <w:rFonts w:ascii="Times New Roman" w:cs="Times New Roman" w:eastAsia="Times New Roman" w:hAnsi="Times New Roman"/>
          <w:sz w:val="14"/>
          <w:szCs w:val="14"/>
          <w:color w:val="auto"/>
        </w:rPr>
      </w:pPr>
    </w:p>
    <w:p>
      <w:pPr>
        <w:ind w:left="2080" w:right="459" w:hanging="340"/>
        <w:spacing w:after="0" w:line="270" w:lineRule="auto"/>
        <w:tabs>
          <w:tab w:leader="none" w:pos="2080" w:val="left"/>
        </w:tabs>
        <w:numPr>
          <w:ilvl w:val="0"/>
          <w:numId w:val="44"/>
        </w:numPr>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the description of ADSs representing our ordinary shares contained in our Registration Statement on Form 8-A filed with the SEC on </w:t>
      </w:r>
      <w:hyperlink r:id="rId41">
        <w:r>
          <w:rPr>
            <w:rFonts w:ascii="Times New Roman" w:cs="Times New Roman" w:eastAsia="Times New Roman" w:hAnsi="Times New Roman"/>
            <w:sz w:val="14"/>
            <w:szCs w:val="14"/>
            <w:u w:val="single" w:color="auto"/>
            <w:color w:val="0000EE"/>
          </w:rPr>
          <w:t>October 18, 2023</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including any amendments or reports filed for the purpose of updating such description, including Exhibit 2.3 to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Annual Report on Form 20-F for the fiscal year ended December 31, 2024, filed with the SEC on </w:t>
      </w:r>
      <w:hyperlink r:id="rId114">
        <w:r>
          <w:rPr>
            <w:rFonts w:ascii="Times New Roman" w:cs="Times New Roman" w:eastAsia="Times New Roman" w:hAnsi="Times New Roman"/>
            <w:sz w:val="14"/>
            <w:szCs w:val="14"/>
            <w:u w:val="single" w:color="auto"/>
            <w:color w:val="0000EE"/>
          </w:rPr>
          <w:t>March 24, 2025</w:t>
        </w:r>
      </w:hyperlink>
      <w:r>
        <w:rPr>
          <w:rFonts w:ascii="Times New Roman" w:cs="Times New Roman" w:eastAsia="Times New Roman" w:hAnsi="Times New Roman"/>
          <w:sz w:val="14"/>
          <w:szCs w:val="14"/>
          <w:color w:val="000000"/>
        </w:rPr>
        <w:t>.</w:t>
      </w:r>
    </w:p>
    <w:p>
      <w:pPr>
        <w:spacing w:after="0" w:line="136" w:lineRule="exact"/>
        <w:rPr>
          <w:rFonts w:ascii="Times New Roman" w:cs="Times New Roman" w:eastAsia="Times New Roman" w:hAnsi="Times New Roman"/>
          <w:sz w:val="14"/>
          <w:szCs w:val="14"/>
          <w:color w:val="auto"/>
        </w:rPr>
      </w:pPr>
    </w:p>
    <w:p>
      <w:pPr>
        <w:ind w:left="1320" w:right="299"/>
        <w:spacing w:after="0" w:line="264" w:lineRule="auto"/>
        <w:rPr>
          <w:sz w:val="20"/>
          <w:szCs w:val="20"/>
          <w:color w:val="auto"/>
        </w:rPr>
      </w:pPr>
      <w:r>
        <w:rPr>
          <w:rFonts w:ascii="Times New Roman" w:cs="Times New Roman" w:eastAsia="Times New Roman" w:hAnsi="Times New Roman"/>
          <w:sz w:val="14"/>
          <w:szCs w:val="14"/>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prospectus. In all cases, you should rely on the later information over different information included in this prospectus or any accompanying prospectus supplement.</w:t>
      </w:r>
    </w:p>
    <w:p>
      <w:pPr>
        <w:spacing w:after="0" w:line="140" w:lineRule="exact"/>
        <w:rPr>
          <w:rFonts w:ascii="Times New Roman" w:cs="Times New Roman" w:eastAsia="Times New Roman" w:hAnsi="Times New Roman"/>
          <w:sz w:val="14"/>
          <w:szCs w:val="14"/>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40"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Abivax SA</w:t>
      </w:r>
    </w:p>
    <w:p>
      <w:pPr>
        <w:spacing w:after="0" w:line="2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7-11 boulevard Haussmann</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75009 Paris</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France</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+33 (0) 1 53 83 09 63</w:t>
      </w:r>
    </w:p>
    <w:p>
      <w:pPr>
        <w:spacing w:after="0" w:line="162" w:lineRule="exact"/>
        <w:rPr>
          <w:rFonts w:ascii="Times New Roman" w:cs="Times New Roman" w:eastAsia="Times New Roman" w:hAnsi="Times New Roman"/>
          <w:sz w:val="14"/>
          <w:szCs w:val="14"/>
          <w:color w:val="auto"/>
        </w:rPr>
      </w:pPr>
    </w:p>
    <w:p>
      <w:pPr>
        <w:ind w:left="1320" w:right="359"/>
        <w:spacing w:after="0" w:line="290" w:lineRule="auto"/>
        <w:rPr>
          <w:sz w:val="20"/>
          <w:szCs w:val="20"/>
          <w:color w:val="auto"/>
        </w:rPr>
      </w:pPr>
      <w:r>
        <w:rPr>
          <w:rFonts w:ascii="Times New Roman" w:cs="Times New Roman" w:eastAsia="Times New Roman" w:hAnsi="Times New Roman"/>
          <w:sz w:val="14"/>
          <w:szCs w:val="14"/>
          <w:color w:val="auto"/>
        </w:rPr>
        <w:t xml:space="preserve">You may also access these documents on our website, </w:t>
      </w:r>
      <w:r>
        <w:rPr>
          <w:rFonts w:ascii="Times New Roman" w:cs="Times New Roman" w:eastAsia="Times New Roman" w:hAnsi="Times New Roman"/>
          <w:sz w:val="14"/>
          <w:szCs w:val="14"/>
          <w:i w:val="1"/>
          <w:iCs w:val="1"/>
          <w:color w:val="auto"/>
        </w:rPr>
        <w:t>www.abivax.com</w:t>
      </w:r>
      <w:r>
        <w:rPr>
          <w:rFonts w:ascii="Times New Roman" w:cs="Times New Roman" w:eastAsia="Times New Roman" w:hAnsi="Times New Roman"/>
          <w:sz w:val="14"/>
          <w:szCs w:val="14"/>
          <w:color w:val="auto"/>
        </w:rPr>
        <w:t>. The information contained on, or that can be accessed through, our website is not a part of this prospectus. We have included our website address in this prospectus solely as an inactive textual reference.</w:t>
      </w:r>
    </w:p>
    <w:p>
      <w:pPr>
        <w:spacing w:after="0" w:line="122" w:lineRule="exact"/>
        <w:rPr>
          <w:rFonts w:ascii="Times New Roman" w:cs="Times New Roman" w:eastAsia="Times New Roman" w:hAnsi="Times New Roman"/>
          <w:sz w:val="14"/>
          <w:szCs w:val="14"/>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87"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81" w:lineRule="exact"/>
        <w:rPr>
          <w:sz w:val="20"/>
          <w:szCs w:val="20"/>
          <w:color w:val="auto"/>
        </w:rPr>
      </w:pPr>
    </w:p>
    <w:p>
      <w:pPr>
        <w:jc w:val="both"/>
        <w:ind w:left="1320" w:right="199" w:firstLine="346"/>
        <w:spacing w:after="0" w:line="270" w:lineRule="auto"/>
        <w:rPr>
          <w:sz w:val="20"/>
          <w:szCs w:val="20"/>
          <w:color w:val="auto"/>
        </w:rPr>
      </w:pPr>
      <w:r>
        <w:rPr>
          <w:rFonts w:ascii="Times New Roman" w:cs="Times New Roman" w:eastAsia="Times New Roman" w:hAnsi="Times New Roman"/>
          <w:sz w:val="14"/>
          <w:szCs w:val="14"/>
          <w:color w:val="auto"/>
        </w:rPr>
        <w:t>The following table sets forth fees and expenses payable by the registrant, other than underwriting discounts and commissions, in connection with the issuance and distribution of the securities being registered hereby. All amounts set forth below are estimates. All of such expenses are being borne by the registrant.</w:t>
      </w:r>
    </w:p>
    <w:p>
      <w:pPr>
        <w:spacing w:after="0" w:line="143" w:lineRule="exact"/>
        <w:rPr>
          <w:sz w:val="20"/>
          <w:szCs w:val="20"/>
          <w:color w:val="auto"/>
        </w:rPr>
      </w:pPr>
    </w:p>
    <w:tbl>
      <w:tblPr>
        <w:tblLayout w:type="fixed"/>
        <w:tblInd w:w="2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U.S.</w:t>
            </w:r>
          </w:p>
        </w:tc>
      </w:tr>
      <w:tr>
        <w:trPr>
          <w:trHeight w:val="136"/>
        </w:trPr>
        <w:tc>
          <w:tcPr>
            <w:tcW w:w="20" w:type="dxa"/>
            <w:vAlign w:val="bottom"/>
          </w:tcPr>
          <w:p>
            <w:pPr>
              <w:spacing w:after="0"/>
              <w:rPr>
                <w:sz w:val="11"/>
                <w:szCs w:val="11"/>
                <w:color w:val="auto"/>
              </w:rPr>
            </w:pPr>
          </w:p>
        </w:tc>
        <w:tc>
          <w:tcPr>
            <w:tcW w:w="34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9"/>
              </w:rPr>
              <w:t>dollar</w:t>
            </w:r>
          </w:p>
        </w:tc>
        <w:tc>
          <w:tcPr>
            <w:tcW w:w="80" w:type="dxa"/>
            <w:vAlign w:val="bottom"/>
            <w:tcBorders>
              <w:bottom w:val="single" w:sz="8" w:color="CCEEFF"/>
            </w:tcBorders>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w:t>
            </w:r>
          </w:p>
        </w:tc>
      </w:tr>
      <w:tr>
        <w:trPr>
          <w:trHeight w:val="170"/>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186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bl>
    <w:p>
      <w:pPr>
        <w:spacing w:after="0" w:line="176" w:lineRule="exact"/>
        <w:rPr>
          <w:sz w:val="20"/>
          <w:szCs w:val="20"/>
          <w:color w:val="auto"/>
        </w:rPr>
      </w:pPr>
    </w:p>
    <w:p>
      <w:pPr>
        <w:ind w:left="1660" w:right="639" w:hanging="345"/>
        <w:spacing w:after="0" w:line="263" w:lineRule="auto"/>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registration statement relates to the registration of securities having an indeterminate maximum aggregate amount. Payment of the registration fee has been deferred and will be calculated and paid in accordance with Rule 456(b) and Rule 457(r) under the Securities Act.</w:t>
      </w:r>
    </w:p>
    <w:p>
      <w:pPr>
        <w:ind w:left="1660" w:hanging="345"/>
        <w:spacing w:after="0"/>
        <w:tabs>
          <w:tab w:leader="none" w:pos="1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1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198755</wp:posOffset>
            </wp:positionV>
            <wp:extent cx="54978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497830" cy="1333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238760</wp:posOffset>
            </wp:positionV>
            <wp:extent cx="54978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5497830" cy="698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515620</wp:posOffset>
            </wp:positionV>
            <wp:extent cx="1475740" cy="2425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475740" cy="242570"/>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American Depositary Shares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2035810</wp:posOffset>
            </wp:positionV>
            <wp:extent cx="115189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187960</wp:posOffset>
            </wp:positionV>
            <wp:extent cx="11518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339725</wp:posOffset>
            </wp:positionV>
            <wp:extent cx="54978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5497830" cy="698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393700</wp:posOffset>
            </wp:positionV>
            <wp:extent cx="54978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5497830" cy="1333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type w:val="continuous"/>
        </w:sectPr>
      </w:pPr>
    </w:p>
    <w:bookmarkStart w:id="77" w:name="page78"/>
    <w:bookmarkEnd w:id="77"/>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Abivax S.A.</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4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9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or Carry</w:t>
            </w:r>
          </w:p>
        </w:tc>
        <w:tc>
          <w:tcPr>
            <w:tcW w:w="40" w:type="dxa"/>
            <w:vAlign w:val="bottom"/>
          </w:tcPr>
          <w:p>
            <w:pPr>
              <w:spacing w:after="0"/>
              <w:rPr>
                <w:sz w:val="16"/>
                <w:szCs w:val="16"/>
                <w:color w:val="auto"/>
              </w:rPr>
            </w:pPr>
          </w:p>
        </w:tc>
        <w:tc>
          <w:tcPr>
            <w:tcW w:w="900" w:type="dxa"/>
            <w:vAlign w:val="bottom"/>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ind w:right="1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nominal</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4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403,347</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$ 112.92</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$ 6,289.89</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45,545,943.24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euro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$ 6,289.89</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45,545,943.24</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$ 6,289.89</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20" w:hanging="183"/>
        <w:spacing w:after="0" w:line="248" w:lineRule="auto"/>
        <w:tabs>
          <w:tab w:leader="none" w:pos="22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These shares are represented by American Depositary Shares ("ADSs") of Abivax SA (the "Registrant"). Each ADS represents the right to receive one ordinary share, nominal value 0.01 euro per share ("Ordinary Shares") of the Registrant. ADSs issuable upon deposit of the ordinary shares registered hereby were registered pursuant to the Registrant's Registration Statement on Form F-6 (File No. 333-274845). 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F-3 (Registration No. 333-288884) (the "Registration Statement"). Consists of 403,347 ADSs registered pursuant to this prospectus supplement to be offered by the selling shareholders named therein. This "Calculation of Filing Fee Tables" shall be deemed to update the "Calculation of Filing Fee Tables" filed as Exhibit 107 to the Registration Statement in accordance with Rules 456(b) and 457(r) under the Securities Act. The proposed maximum offering price per unit is estimated in accordance with Rule 457(c) promulgated under the Securities Act solely for the purpose of calculating the registration fee and is based upon a price of $112.92, which is the average of the high and low prices per ADS on April 30,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57150</wp:posOffset>
            </wp:positionV>
            <wp:extent cx="714692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Offset</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3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2" w:right="239" w:bottom="0" w:gutter="0" w:footer="0" w:header="0"/>
        </w:sectPr>
      </w:pPr>
    </w:p>
    <w:bookmarkStart w:id="78" w:name="page79"/>
    <w:bookmarkEnd w:id="78"/>
    <w:p>
      <w:pPr>
        <w:ind w:left="4680"/>
        <w:spacing w:after="0"/>
        <w:rPr>
          <w:sz w:val="20"/>
          <w:szCs w:val="20"/>
          <w:color w:val="auto"/>
        </w:rPr>
      </w:pPr>
      <w:r>
        <w:rPr>
          <w:rFonts w:ascii="Arial" w:cs="Arial" w:eastAsia="Arial" w:hAnsi="Arial"/>
          <w:sz w:val="17"/>
          <w:szCs w:val="17"/>
          <w:b w:val="1"/>
          <w:bCs w:val="1"/>
          <w:color w:val="auto"/>
        </w:rPr>
        <w:t>Narrative Disclosure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maximum aggregate offering price of the securities to which the prospectus relates is $45,545,943.24. The prospectus is a final prospectus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000"/>
      </w:cols>
      <w:pgMar w:left="440" w:top="1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lowerRoman"/>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jpe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jpe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35" Type="http://schemas.openxmlformats.org/officeDocument/2006/relationships/hyperlink" Target="http://www.sec.gov/Archives/edgar/data/1956827/000119312525163402/d944622df3asr.htm" TargetMode="External"/><Relationship Id="rId38" Type="http://schemas.openxmlformats.org/officeDocument/2006/relationships/hyperlink" Target="http://www.sec.gov/ix?doc=/Archives/edgar/data/0001956827/000195682726000012/abvx-20251231.htm" TargetMode="External"/><Relationship Id="rId39" Type="http://schemas.openxmlformats.org/officeDocument/2006/relationships/hyperlink" Target="http://www.sec.gov/Archives/edgar/data/1956827/000195682726000003/a6-kxeccopr.htm" TargetMode="External"/><Relationship Id="rId40" Type="http://schemas.openxmlformats.org/officeDocument/2006/relationships/hyperlink" Target="http://www.sec.gov/Archives/edgar/data/1956827/000195682726000014/abivax-6xkpreparatorydocum.htm" TargetMode="External"/><Relationship Id="rId41" Type="http://schemas.openxmlformats.org/officeDocument/2006/relationships/hyperlink" Target="http://www.sec.gov/Archives/edgar/data/1956827/000119312523258649/d533766d8a12b.htm" TargetMode="External"/><Relationship Id="rId114" Type="http://schemas.openxmlformats.org/officeDocument/2006/relationships/hyperlink" Target="http://www.sec.gov/ix?doc=/Archives/edgar/data/0001956827/000195682725000010/abvx-20241231.htm" TargetMode="External"/><Relationship Id="rId115" Type="http://schemas.openxmlformats.org/officeDocument/2006/relationships/hyperlink" Target="http://www.sec.gov/Archives/edgar/data/1956827/000119312525089339/d919877d6k.htm" TargetMode="External"/><Relationship Id="rId116" Type="http://schemas.openxmlformats.org/officeDocument/2006/relationships/hyperlink" Target="http://www.sec.gov/Archives/edgar/data/1956827/000195682725000016/a6-kcoverpagex042225pressr.htm" TargetMode="External"/><Relationship Id="rId117" Type="http://schemas.openxmlformats.org/officeDocument/2006/relationships/hyperlink" Target="http://www.sec.gov/ix?doc=/Archives/edgar/data/0001956827/000195682725000021/abvx-20250331.htm" TargetMode="External"/><Relationship Id="rId118" Type="http://schemas.openxmlformats.org/officeDocument/2006/relationships/hyperlink" Target="http://www.sec.gov/Archives/edgar/data/1956827/000195682725000024/a6-kcoverpagex060925pressr.htm" TargetMode="External"/><Relationship Id="rId119" Type="http://schemas.openxmlformats.org/officeDocument/2006/relationships/hyperlink" Target="http://www.sec.gov/Archives/edgar/data/1956827/000119312525162671/d56921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2026-05-07T10:34:59Z</dcterms:created>
  <dcterms:modified xsi:type="dcterms:W3CDTF">2026-05-07T10:34:59Z</dcterms:modified>
</cp:coreProperties>
</file>