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Abivax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EUR0.01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Armance Bordes</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7-11, boulevard Haussmann,</w:t>
      </w:r>
    </w:p>
    <w:p>
      <w:pPr>
        <w:ind w:left="4100"/>
        <w:spacing w:after="0" w:line="230" w:lineRule="auto"/>
        <w:rPr>
          <w:sz w:val="20"/>
          <w:szCs w:val="20"/>
          <w:color w:val="auto"/>
        </w:rPr>
      </w:pPr>
      <w:r>
        <w:rPr>
          <w:rFonts w:ascii="Times New Roman" w:cs="Times New Roman" w:eastAsia="Times New Roman" w:hAnsi="Times New Roman"/>
          <w:sz w:val="22"/>
          <w:szCs w:val="22"/>
          <w:b w:val="1"/>
          <w:bCs w:val="1"/>
          <w:color w:val="0000FF"/>
        </w:rPr>
        <w:t>Paris, I0, 75009</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33 1 76 23 41 09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Partigan Lloyd Spencer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Nixon Peabody LLP, 799 9 Street NW Ste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202-585-8000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Sofinnova Crossover I SLP</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Note in relation to Items 7 and 8: Sofinnova Partners SAS, a French corporation ("SP SAS"), the management</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company of Sofinnova Crossover I SLP ("SC"), may be deemed to have sole voting power, and Antoine Papiernik</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("Papiernik"), Cedric Moreau ("Moreau"), Kinam Hong ("Hong"), Joseph Anderson ("Anderson") and Jacques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Theurillat ("Theurillat"), the members of the investment committee of SC, may be deemed to have shared power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vote these shares. Note in relation to Items 9 and 10: SP SAS, the management company of SC, may be deemed to</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have sole power to dispose of these shares, and Papiernik, Moreau, Hong, Anderson and Theurillat, the members of the investment committee of SC, may be deemed to have shared power to dispose of these shares. Note in relation to Items 8, 10, 11 and 13: The Reporting Person beneficially owns 3,377,494 Ordinary Shares (including ordinary shares represented by American depositary shares) and has 5,499,478 voting rights related to such shares. The aggregate amount beneficially owned and percent of class reported above are based on the Reporting Person's voting rights and the 82,047,884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Sofinnova Partners SAS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Note in relation to Items 7 and 8: SP SAS, the management company of SC, may be deemed to have sole voting</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power, and Papiernik, Moreau, Hong, Anderson and Theurillat, the members of the investment committee of SC, may</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 deemed to have shared power to vote these shares. Note in relation to Items 9 and 10: SP SAS, the management</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company of SC, may be deemed to have sole power to dispose of these shares, and Papiernik, Moreau, Hong,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Anderson and Theurillat, the members of the investment committee of SC, may be deemed to have shared power to</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dispose of these shares. Note in relation to Items 8, 10, 11 and 13: The Reporting Person beneficially owns 3,377,478 Ordinary Shares (including ordinary shares represented by American depositary shares) and has 5,499,478 voting rights related to such shares. The aggregate amount beneficially owned and percent of class reported above are based on the Reporting Person's voting rights and the 82,047,884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Antoine Papiernik</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1" w:right="339" w:bottom="59" w:gutter="0" w:footer="0" w:header="0"/>
        </w:sectPr>
      </w:pPr>
    </w:p>
    <w:bookmarkStart w:id="3" w:name="page4"/>
    <w:bookmarkEnd w:id="3"/>
    <w:p>
      <w:pPr>
        <w:ind w:left="1160"/>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Items 7 and 8: SP SAS, the management company of SC, may be deemed to have sole voting power, and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Papiernik, a member of the investment committee of SC, may be deemed to have shared power to vote these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Note to Items 9 and 10: SP SAS, the management company of SC, may be deemed to have sole power to dispose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these shares, and Papiernik, a member of the investment committee of SC, may be deemed to have shared power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dispose of these shares. Note in relation to Items 8, 10, 11 and 13: The Reporting Person beneficially owns 3,377,494</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Ordinary Shares (including ordinary shares represented by American depositary shares) and has 5,499,478 voting rights related to such shares. The aggregate amount beneficially owned and percent of class reported above are based on the Reporting Person's voting rights and the 82,047,884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Cedric Moreau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FRANCE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Items 7 and 8: SP SAS, the management company of SC, may be deemed to have sole voting power, and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Moreau, a member of the investment committee of SC, may be deemed to have shared power to vote these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Note to Items 9 and 10: SP SAS, the management company of SC, may be deemed to have sole power to dispose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these shares, and Moreau, a member of the investment committee of SC, may be deemed to have shared power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dispose of these shares. Note in relation to Items 8, 10, 11 and 13: The Reporting Person beneficially owns 3,377,494</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Ordinary Shares (including ordinary shares represented by American depositary shares) and has 5,499,478 voting rights related to such shares. The aggregate amount beneficially owned and percent of class reported above are based on the Reporting Person's voting rights and the 82,047,884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Kinam Hong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355"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0" w:gutter="0" w:footer="0" w:header="0"/>
          <w:type w:val="continuous"/>
        </w:sectPr>
      </w:pPr>
    </w:p>
    <w:bookmarkStart w:id="5" w:name="page6"/>
    <w:bookmarkEnd w:id="5"/>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Items 7 and 8: SP SAS, the management company of SC, may be deemed to have sole voting power, and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Hong, a member of the investment committee of SC, may be deemed to have shared power to vote these shares. Note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 Items 9 and 10: SP SAS, the management company of SC, may be deemed to have sole power to dispose of these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and Hong, a member of the investment committee of SC, may be deemed to have shared power to dispose of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these shares. Note in relation to Items 8, 10, 11 and 13: The Reporting Person beneficially owns 3,377,494 Ordinary</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Shares (including ordinary shares represented by American depositary shares) and has 5,499,478 voting rights related to such shares. The aggregate amount beneficially owned and percent of class reported above are based on the Reporting Person's voting rights and the 82,047,844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Joseph Anderson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12" w:orient="portrait"/>
          <w:cols w:equalWidth="0" w:num="1">
            <w:col w:w="11240"/>
          </w:cols>
          <w:pgMar w:left="320" w:top="126" w:right="339" w:bottom="0" w:gutter="0" w:footer="0" w:header="0"/>
        </w:sectPr>
      </w:pPr>
    </w:p>
    <w:bookmarkStart w:id="6" w:name="page7"/>
    <w:bookmarkEnd w:id="6"/>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19"/>
        </w:trPr>
        <w:tc>
          <w:tcPr>
            <w:tcW w:w="11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Items 7 and 8: SP SAS, the management company of SC, may be deemed to have sole voting power, and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Anderson, a member of the investment committee of SC, may be deemed to have shared power to vote these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Note to Items 9 and 10: SP SAS, the management company of SC, may be deemed to have sole power to dispose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these shares, and Anderson, a member of the investment committee of SC, may be deemed to have shared power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dispose of these shares. Note in relation to Items 8, 10, 11 and 13: The Reporting Person beneficially owns 3,377,494</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Ordinary Shares (including ordinary shares represented by American depositary shares) and has 5,499,478 voting rights related to such shares. The aggregate amount beneficially owned and percent of class reported above are based on the Reporting Person's voting rights and the 82,047,884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Jacques Theurillat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930" w:orient="portrait"/>
          <w:cols w:equalWidth="0" w:num="1">
            <w:col w:w="11240"/>
          </w:cols>
          <w:pgMar w:left="320" w:top="102" w:right="339" w:bottom="0" w:gutter="0" w:footer="0" w:header="0"/>
        </w:sectPr>
      </w:pPr>
    </w:p>
    <w:bookmarkStart w:id="7" w:name="page8"/>
    <w:bookmarkEnd w:id="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3,377,494.00</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5,499,478.00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6.7 %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Items 7 and 8: SP SAS, the management company of SC, may be deemed to have sole voting power, and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Theurillat, a member of the investment committee of SC, may be deemed to have shared power to vote these shares.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Note to Items 9 and 10: SP SAS, the management company of SC, may be deemed to have sole power to dispose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these shares, and Theurillat, a member of the investment committee of SC, may be deemed to have shared power to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dispose of these shares. Note in relation to Items 8, 10, 11 and 13: The Reporting Person beneficially owns 3,377,494</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Ordinary Shares (including ordinary shares represented by American depositary shares) and has 5,499,478 voting rights related to such shares. The aggregate amount beneficially owned and percent of class reported above are based on the Reporting Person's voting rights and the 82,047,884 voting rights outstanding as of March 31, 2026, as adjusted to reflect the shares issued in the Private Placement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EUR0.01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Abivax 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7-11, boulevard Haussmann, Paris, FRANCE , 75009.</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Introductory Statement: This Amendment No. 5 (this "Amendment"), being filed by Sofinnova Crossover I SLP</w:t>
      </w:r>
    </w:p>
    <w:p>
      <w:pPr>
        <w:spacing w:after="0" w:line="6" w:lineRule="exact"/>
        <w:rPr>
          <w:sz w:val="20"/>
          <w:szCs w:val="20"/>
          <w:color w:val="auto"/>
        </w:rPr>
      </w:pPr>
    </w:p>
    <w:p>
      <w:pPr>
        <w:jc w:val="both"/>
        <w:ind w:left="1000" w:right="40" w:hanging="951"/>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("SC"), Sofinnova Partners SAS, a French corporation ("SP SAS"), Antoine Papiernik ("Papiernik"), Cedric Moreau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("Moreau"), Kinam Hong ("Hong"), Joseph Anderson ("Anderson") and Jacques Theurillat ("Theurillat") the members of the investment committee of SC (collectively, the "Listed Persons" and together with SC and SP SAS, the "Reporting Persons"), amends and supplements the Schedule 13D filed with the Securities and Exchange Commission (the "SEC") on October 30, 2023, as amended by Amendment No. 1, filed with the SEC on February 14, 2025, as further amended by Amendment No. 2, filed with the SEC on July 31, 2025, as amended by Amendment No. 3, filed with the SEC on October 30, 2025, and as further amended by Amendment No. 4, filed with the SEC on January 14, 2026 (collectively, as amended, the "Schedule 13D"). This Schedule 13D relates to the Ordinary Shares, par value EUR0.01 per share (the "Ordinary Shares"), including ordinary shares represented by American Depositary Shares ("ADS"), of Abivax SA, a societe anonyme incorporated under the laws of the French Republic (the "Issuer"). Except as specifically provided herein, this Amendment No. 5 does not modify any of the information previously reported in the Schedule 13D. Capitalized terms used herein shall have the meanings ascribed to them in the Schedule 13D.</w:t>
      </w:r>
    </w:p>
    <w:p>
      <w:pPr>
        <w:spacing w:after="0" w:line="26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20" w:hanging="912"/>
        <w:spacing w:after="0" w:line="185" w:lineRule="auto"/>
        <w:tabs>
          <w:tab w:leader="none" w:pos="960" w:val="left"/>
        </w:tabs>
        <w:numPr>
          <w:ilvl w:val="0"/>
          <w:numId w:val="1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60" w:right="320" w:hanging="912"/>
        <w:spacing w:after="0" w:line="184" w:lineRule="auto"/>
        <w:tabs>
          <w:tab w:leader="none" w:pos="960" w:val="left"/>
        </w:tabs>
        <w:numPr>
          <w:ilvl w:val="0"/>
          <w:numId w:val="1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240"/>
          </w:cols>
          <w:pgMar w:left="320" w:top="111" w:right="339" w:bottom="0" w:gutter="0" w:footer="0" w:header="0"/>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22"/>
          <w:szCs w:val="22"/>
          <w:color w:val="auto"/>
        </w:rPr>
        <w:t>The 42,755 ADSs were acquired in exchange for royalty certificates held by SC pursuant to the Purchase Agreement, dated May 4, 2026 (as further defined below).</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On May 4, 2026, SC, among various other shareholders, entered into a Purchase Agreement with the Issuer to repurchase royalty certificates issued to SC, and the other shareholders, on September 7, 2022. The Issuer repurchased the royalty certificates in full by paying an aggregate consideration of $90.0 million, $45.0 million of which was paid in cash and $45.0 million was paid in shares through the issuance of 403,347 ordinary shares, including in the form of ADS in a private placement (the "Private Placement"). In the Private Placement, SC received 42,755 ADSs. On May 7, 2026, the Issuer registered the offering and resale of the ADSs. In addition to the Private Placement, Mr. Hong no longer serves as a member of the Board of Directors of the Issuer and no longer has influence over the corporate activities of the Issuer. Mr. Hong is no longer entitled to receive cash attendance fees. All of the Ordinary Shares that are held of record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any manner permitted by law. The Reporting Persons may engage from time to time in ordinary course transactions with financial institutions with respect to the securities described herein. Except as set forth above, none of the Reporting Persons currently has any plans or proposals which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Item 5(a) of the Schedule 13D is hereby amended and supplemented as follows: As of May 11, 2026, SC held directly 3,377,494 Ordinary Shares representing approximately 4.3% of the Issuer's outstanding Ordinary Shares and 5,499,478 voting rights representing approximately 6.7% of the Issuer's outstanding voting rights. None of the other Reporting Persons hold any Ordinary Shares or ADSs directly. SP SAS is the management company of SC and may be deemed to have shared voting and investment control over the Ordinary Shares and ADSs held by SC. Each of</w:t>
      </w:r>
    </w:p>
    <w:p>
      <w:pPr>
        <w:spacing w:after="0" w:line="1" w:lineRule="exact"/>
        <w:rPr>
          <w:sz w:val="20"/>
          <w:szCs w:val="20"/>
          <w:color w:val="auto"/>
        </w:rPr>
      </w:pPr>
    </w:p>
    <w:p>
      <w:pPr>
        <w:ind w:left="920" w:right="180" w:hanging="912"/>
        <w:spacing w:after="0" w:line="204" w:lineRule="auto"/>
        <w:tabs>
          <w:tab w:leader="none" w:pos="920" w:val="left"/>
        </w:tabs>
        <w:numPr>
          <w:ilvl w:val="0"/>
          <w:numId w:val="1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Antoine Papiernik, Cedric Moreau, Kinam Hong, Joseph Anderson and Jacques Theurillat are the members of the investment committee of SC and may be deemed to have shared voting and investment control over the Ordinary Shares and ADSs held by SC. Each of such individuals disclaims beneficial ownership of such Ordinary Shares and ADSs except to the extent of their pecuniary interest therein. The ownership percentages are based upon 79,694,535 of the Issuer's Ordinary Shares outstanding as of March 31, 2026, as adjusted to reflect the shares issued in the Private Placement. The voting percentages are based upon 82,047,884 voting rights outstanding as of March 31, 2026, as adjusted to reflect the shares issued in the Private Placement.</w:t>
      </w:r>
    </w:p>
    <w:p>
      <w:pPr>
        <w:spacing w:after="0" w:line="20" w:lineRule="exact"/>
        <w:rPr>
          <w:rFonts w:ascii="Times New Roman" w:cs="Times New Roman" w:eastAsia="Times New Roman" w:hAnsi="Times New Roman"/>
          <w:sz w:val="43"/>
          <w:szCs w:val="43"/>
          <w:color w:val="auto"/>
          <w:vertAlign w:val="subscript"/>
        </w:rPr>
      </w:pPr>
    </w:p>
    <w:p>
      <w:pPr>
        <w:ind w:left="920" w:right="60" w:hanging="912"/>
        <w:spacing w:after="0" w:line="185" w:lineRule="auto"/>
        <w:tabs>
          <w:tab w:leader="none" w:pos="920" w:val="left"/>
        </w:tabs>
        <w:numPr>
          <w:ilvl w:val="0"/>
          <w:numId w:val="1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Schedule 13D is hereby amended and supplemented as follows: See the information contained on the cover pages of this Amendment, which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Item 5(c) of the Schedule 13D is hereby amended and supplemented as follows: Except as disclosed herein, there</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237"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no other reportable transactions with respect to the Ordinary Shares or ADSs of the Issuer within the last 60 days by the Reporting Persons.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40"/>
        <w:spacing w:after="0" w:line="236" w:lineRule="auto"/>
        <w:rPr>
          <w:sz w:val="20"/>
          <w:szCs w:val="20"/>
          <w:color w:val="auto"/>
        </w:rPr>
      </w:pPr>
      <w:r>
        <w:rPr>
          <w:rFonts w:ascii="Times New Roman" w:cs="Times New Roman" w:eastAsia="Times New Roman" w:hAnsi="Times New Roman"/>
          <w:sz w:val="22"/>
          <w:szCs w:val="22"/>
          <w:color w:val="auto"/>
        </w:rPr>
        <w:t>On May 4, 2026, SC entered into a Purchase Agreement with Issuer to repurchase royalty certificates issued to SC, among other shareholders, on September 7, 2022, in exchange for 42,755 ADSs. Pursuant to the Purchase Agreement, the Issuer agreed to register the new ADSs for resale. The description of the Purchase Agreement herein is not complete and is qualified in its entirety by reference to the full text of the Purchase Agreement, which is filed herewith as Exhibit 99.2 and incorporated herein by reference. Kinam Hong, a member of the investment committee of SC, is no longer a member of the Issuer's Board of Directors.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9" w:lineRule="auto"/>
        <w:rPr>
          <w:sz w:val="20"/>
          <w:szCs w:val="20"/>
          <w:color w:val="auto"/>
        </w:rPr>
      </w:pPr>
      <w:r>
        <w:rPr>
          <w:rFonts w:ascii="Times New Roman" w:cs="Times New Roman" w:eastAsia="Times New Roman" w:hAnsi="Times New Roman"/>
          <w:sz w:val="22"/>
          <w:szCs w:val="22"/>
          <w:color w:val="auto"/>
        </w:rPr>
        <w:t>EX 99.1 - Agreement regarding filing of joint Schedule 13D (incorporated by reference from Exhibit 99.1 to Schedule 13D filed by the Reporting Persons on October 30, 2023) EX 99.2 - Purchase Agreement, dated May 4, 2026, by and between the Issuer and the Selling Shareholders (listed therein) (incorporated by reference from Exhibit 10.1 to Form 6-K filed by the Issuer on May 7,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Sofinnova Crossover I SLP</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Antoine Papiernik</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11140"/>
          </w:cols>
          <w:pgMar w:left="360" w:top="111" w:right="399" w:bottom="0" w:gutter="0" w:footer="0" w:header="0"/>
        </w:sectPr>
      </w:pPr>
    </w:p>
    <w:bookmarkStart w:id="9" w:name="page10"/>
    <w:bookmarkEnd w:id="9"/>
    <w:p>
      <w:pPr>
        <w:ind w:left="1220"/>
        <w:spacing w:after="0"/>
        <w:rPr>
          <w:sz w:val="20"/>
          <w:szCs w:val="20"/>
          <w:color w:val="auto"/>
        </w:rPr>
      </w:pPr>
      <w:r>
        <w:rPr>
          <w:rFonts w:ascii="Times New Roman" w:cs="Times New Roman" w:eastAsia="Times New Roman" w:hAnsi="Times New Roman"/>
          <w:sz w:val="22"/>
          <w:szCs w:val="22"/>
          <w:color w:val="auto"/>
        </w:rPr>
        <w:t>Sofinnova Partners SAS</w:t>
      </w:r>
    </w:p>
    <w:p>
      <w:pPr>
        <w:spacing w:after="0" w:line="152" w:lineRule="exact"/>
        <w:rPr>
          <w:sz w:val="20"/>
          <w:szCs w:val="20"/>
          <w:color w:val="auto"/>
        </w:rPr>
      </w:pPr>
    </w:p>
    <w:p>
      <w:pPr>
        <w:jc w:val="right"/>
        <w:ind w:right="4059"/>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Antoine Papiernik</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Antoine Papiernik</w:t>
      </w:r>
    </w:p>
    <w:p>
      <w:pPr>
        <w:spacing w:after="0" w:line="152" w:lineRule="exact"/>
        <w:rPr>
          <w:sz w:val="20"/>
          <w:szCs w:val="20"/>
          <w:color w:val="auto"/>
        </w:rPr>
      </w:pPr>
    </w:p>
    <w:p>
      <w:pPr>
        <w:jc w:val="right"/>
        <w:ind w:right="4059"/>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Antoine Papiernik</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Antoine Papiernik</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Cedric Moreau</w:t>
      </w:r>
    </w:p>
    <w:p>
      <w:pPr>
        <w:spacing w:after="0" w:line="152"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Cedric Moreau</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Cedric Moreau</w:t>
      </w:r>
    </w:p>
    <w:p>
      <w:pPr>
        <w:spacing w:after="0" w:line="44"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Kinam Hong</w:t>
      </w:r>
    </w:p>
    <w:p>
      <w:pPr>
        <w:spacing w:after="0" w:line="152" w:lineRule="exact"/>
        <w:rPr>
          <w:sz w:val="20"/>
          <w:szCs w:val="20"/>
          <w:color w:val="auto"/>
        </w:rPr>
      </w:pPr>
    </w:p>
    <w:p>
      <w:pPr>
        <w:ind w:left="1580"/>
        <w:spacing w:after="0"/>
        <w:tabs>
          <w:tab w:leader="none" w:pos="2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Kinam Hong</w:t>
      </w:r>
    </w:p>
    <w:p>
      <w:pPr>
        <w:spacing w:after="0" w:line="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Name/Title: Kinam Hong</w:t>
      </w:r>
    </w:p>
    <w:p>
      <w:pPr>
        <w:spacing w:after="0" w:line="44" w:lineRule="exact"/>
        <w:rPr>
          <w:sz w:val="20"/>
          <w:szCs w:val="20"/>
          <w:color w:val="auto"/>
        </w:rPr>
      </w:pPr>
    </w:p>
    <w:p>
      <w:pPr>
        <w:ind w:left="1580"/>
        <w:spacing w:after="0"/>
        <w:tabs>
          <w:tab w:leader="none" w:pos="2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Joseph Anderson</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Anderson</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Joseph Anderson</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Jacques Theurillat</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Jacques Theurillat</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Jacques Theurillat</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2"/>
      <w:numFmt w:val="bullet"/>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2"/>
      <w:numFmt w:val="bullet"/>
      <w:start w:val="1"/>
    </w:lvl>
  </w:abstractNum>
  <w:abstractNum w:abstractNumId="16">
    <w:nsid w:val="431BD7B7"/>
    <w:multiLevelType w:val="hybridMultilevel"/>
    <w:lvl w:ilvl="0">
      <w:lvlJc w:val="left"/>
      <w:lvlText w:val="3"/>
      <w:numFmt w:val="bullet"/>
      <w:start w:val="1"/>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2026-05-11T11:51:34Z</dcterms:created>
  <dcterms:modified xsi:type="dcterms:W3CDTF">2026-05-11T11:51:34Z</dcterms:modified>
</cp:coreProperties>
</file>