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333-274780</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PROSPECTUS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20,325,500 Ordinary Shares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161290</wp:posOffset>
            </wp:positionV>
            <wp:extent cx="180848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282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€10.9864 per Ordinary Share</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$11.60 per American Depositary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153035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p>
      <w:pPr>
        <w:ind w:left="560"/>
        <w:spacing w:after="0"/>
        <w:rPr>
          <w:sz w:val="20"/>
          <w:szCs w:val="20"/>
          <w:color w:val="auto"/>
        </w:rPr>
      </w:pPr>
      <w:r>
        <w:rPr>
          <w:rFonts w:ascii="Arial" w:cs="Arial" w:eastAsia="Arial" w:hAnsi="Arial"/>
          <w:sz w:val="17"/>
          <w:szCs w:val="17"/>
          <w:color w:val="auto"/>
        </w:rPr>
        <w:t>We are offering an aggregate of 20,325,500 ordinary shares in a global offering.</w:t>
      </w:r>
    </w:p>
    <w:p>
      <w:pPr>
        <w:spacing w:after="0" w:line="11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We are offering 18,699,460 ordinary shares in the form of American Depositary Shares, or ADSs, in the United States, referred to herein as the U.S.</w:t>
      </w:r>
    </w:p>
    <w:p>
      <w:pPr>
        <w:spacing w:after="0" w:line="3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offering. Each ADS represents the right to receive one ordinary share and the ADSs may be evidenced by American Depositary Receipts, or ADRs.</w:t>
      </w:r>
    </w:p>
    <w:p>
      <w:pPr>
        <w:spacing w:after="0" w:line="113" w:lineRule="exact"/>
        <w:rPr>
          <w:sz w:val="24"/>
          <w:szCs w:val="24"/>
          <w:color w:val="auto"/>
        </w:rPr>
      </w:pPr>
    </w:p>
    <w:p>
      <w:pPr>
        <w:ind w:left="120" w:right="20" w:firstLine="440"/>
        <w:spacing w:after="0" w:line="261" w:lineRule="auto"/>
        <w:rPr>
          <w:sz w:val="20"/>
          <w:szCs w:val="20"/>
          <w:color w:val="auto"/>
        </w:rPr>
      </w:pPr>
      <w:r>
        <w:rPr>
          <w:rFonts w:ascii="Arial" w:cs="Arial" w:eastAsia="Arial" w:hAnsi="Arial"/>
          <w:sz w:val="17"/>
          <w:szCs w:val="17"/>
          <w:color w:val="auto"/>
        </w:rPr>
        <w:t>We are concurrently offering 1,626,040 ordinary shares in Europe (including France) and countries outside of the United States in a private placement exclusively offered to “qualified investors,” as such term is defined in Article 2(e) of Regulation (EU) No. 2017/1129 of the European Parliament and Council of June 14, 2017, referred to herein as the European private placement.</w:t>
      </w:r>
    </w:p>
    <w:p>
      <w:pPr>
        <w:spacing w:after="0" w:line="78" w:lineRule="exact"/>
        <w:rPr>
          <w:sz w:val="24"/>
          <w:szCs w:val="24"/>
          <w:color w:val="auto"/>
        </w:rPr>
      </w:pPr>
    </w:p>
    <w:p>
      <w:pPr>
        <w:jc w:val="both"/>
        <w:ind w:left="120" w:right="440" w:firstLine="440"/>
        <w:spacing w:after="0" w:line="257" w:lineRule="auto"/>
        <w:rPr>
          <w:sz w:val="20"/>
          <w:szCs w:val="20"/>
          <w:color w:val="auto"/>
        </w:rPr>
      </w:pPr>
      <w:r>
        <w:rPr>
          <w:rFonts w:ascii="Arial" w:cs="Arial" w:eastAsia="Arial" w:hAnsi="Arial"/>
          <w:sz w:val="17"/>
          <w:szCs w:val="17"/>
          <w:color w:val="auto"/>
        </w:rPr>
        <w:t>This is our initial public offering of our ADSs in the United States. We have been approved to list our ADSs on the Nasdaq Global Market under the symbol “ABVX.” Our ordinary shares are listed on Euronext Paris under the symbol “ABVX.” On October 19, 2023, the last reported closing price of our ordinary shares on Euronext Paris was €11.78 per ordinary share, equivalent to a price of $12.44 per ADS, assuming an exchange rate of €0.9471 per U.S. dollar, the exchange rate on October 19, 2023 as reported by the European Central Bank.</w:t>
      </w:r>
    </w:p>
    <w:p>
      <w:pPr>
        <w:spacing w:after="0" w:line="81" w:lineRule="exact"/>
        <w:rPr>
          <w:sz w:val="24"/>
          <w:szCs w:val="24"/>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The closings of the U.S. offering and the European private placement, which are together referred to as the global offering, will occur simultaneously. The total number of ordinary shares (including in the form of ADSs) in the U.S. offering and European private placement is subject to reallocation between these offerings, as permitted under applicable laws and regulations.</w:t>
      </w:r>
    </w:p>
    <w:p>
      <w:pPr>
        <w:spacing w:after="0" w:line="78" w:lineRule="exact"/>
        <w:rPr>
          <w:sz w:val="24"/>
          <w:szCs w:val="24"/>
          <w:color w:val="auto"/>
        </w:rPr>
      </w:pPr>
    </w:p>
    <w:p>
      <w:pPr>
        <w:ind w:left="120" w:right="180" w:firstLine="440"/>
        <w:spacing w:after="0" w:line="274" w:lineRule="auto"/>
        <w:rPr>
          <w:sz w:val="20"/>
          <w:szCs w:val="20"/>
          <w:color w:val="auto"/>
        </w:rPr>
      </w:pPr>
      <w:r>
        <w:rPr>
          <w:rFonts w:ascii="Arial" w:cs="Arial" w:eastAsia="Arial" w:hAnsi="Arial"/>
          <w:sz w:val="17"/>
          <w:szCs w:val="17"/>
          <w:color w:val="auto"/>
        </w:rPr>
        <w:t>We are an “emerging growth company” as defined in the Jumpstart Our Business Startups Act of 2012 and, as such, have elected to comply with certain reduced public company reporting requirements.</w:t>
      </w:r>
    </w:p>
    <w:p>
      <w:pPr>
        <w:spacing w:after="0" w:line="62" w:lineRule="exact"/>
        <w:rPr>
          <w:sz w:val="24"/>
          <w:szCs w:val="24"/>
          <w:color w:val="auto"/>
        </w:rPr>
      </w:pPr>
    </w:p>
    <w:p>
      <w:pPr>
        <w:ind w:left="120" w:right="380" w:firstLine="440"/>
        <w:spacing w:after="0" w:line="267" w:lineRule="auto"/>
        <w:rPr>
          <w:sz w:val="20"/>
          <w:szCs w:val="20"/>
          <w:color w:val="auto"/>
        </w:rPr>
      </w:pPr>
      <w:r>
        <w:rPr>
          <w:rFonts w:ascii="Arial" w:cs="Arial" w:eastAsia="Arial" w:hAnsi="Arial"/>
          <w:sz w:val="20"/>
          <w:szCs w:val="20"/>
          <w:b w:val="1"/>
          <w:bCs w:val="1"/>
          <w:color w:val="auto"/>
        </w:rPr>
        <w:t>Investing in the ordinary shares and ADSs involves a high degree of risk. See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beginning on page 17 of this prospectus.</w:t>
      </w:r>
    </w:p>
    <w:p>
      <w:pPr>
        <w:spacing w:after="0" w:line="56" w:lineRule="exact"/>
        <w:rPr>
          <w:sz w:val="24"/>
          <w:szCs w:val="24"/>
          <w:color w:val="auto"/>
        </w:rPr>
      </w:pPr>
    </w:p>
    <w:p>
      <w:pPr>
        <w:ind w:left="120" w:right="620" w:firstLine="440"/>
        <w:spacing w:after="0" w:line="348" w:lineRule="auto"/>
        <w:rPr>
          <w:sz w:val="20"/>
          <w:szCs w:val="20"/>
          <w:color w:val="auto"/>
        </w:rPr>
      </w:pPr>
      <w:r>
        <w:rPr>
          <w:rFonts w:ascii="Arial" w:cs="Arial" w:eastAsia="Arial" w:hAnsi="Arial"/>
          <w:sz w:val="15"/>
          <w:szCs w:val="15"/>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1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PER ORDINARY</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 ADS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w:t>
            </w:r>
          </w:p>
        </w:tc>
        <w:tc>
          <w:tcPr>
            <w:tcW w:w="8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10.9864</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235,775,869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6"/>
                <w:szCs w:val="16"/>
                <w:color w:val="auto"/>
              </w:rPr>
              <w:t>Underwriting commissions</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0.7690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0.812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16,504,228</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10.2174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2"/>
              </w:rPr>
              <w:t>10.788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219,271,640</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We refer you to “Underwriters” beginning on page 235 of this prospectus for additional information regarding underwriting compensation.</w:t>
      </w:r>
    </w:p>
    <w:p>
      <w:pPr>
        <w:spacing w:after="0" w:line="96" w:lineRule="exact"/>
        <w:rPr>
          <w:sz w:val="24"/>
          <w:szCs w:val="24"/>
          <w:color w:val="auto"/>
        </w:rPr>
      </w:pPr>
    </w:p>
    <w:p>
      <w:pPr>
        <w:ind w:left="120" w:right="180" w:firstLine="440"/>
        <w:spacing w:after="0" w:line="302" w:lineRule="auto"/>
        <w:rPr>
          <w:sz w:val="20"/>
          <w:szCs w:val="20"/>
          <w:color w:val="auto"/>
        </w:rPr>
      </w:pPr>
      <w:r>
        <w:rPr>
          <w:rFonts w:ascii="Arial" w:cs="Arial" w:eastAsia="Arial" w:hAnsi="Arial"/>
          <w:sz w:val="15"/>
          <w:szCs w:val="15"/>
          <w:color w:val="auto"/>
        </w:rPr>
        <w:t>We have granted an option to the underwriters, exercisable within 30 days from the date of this prospectus, to purchase up to an aggregate of 3,048,825 additional ADSs and/or ordinary shares (representing up to 15% of the initial size of the global offering) in the global offering to be sold to the several underwriters at the applicable offering price. If the underwriters exercise this option in full, the total underwriting commissions payable by us will be €18.0 million ($19.0 million) and the total proceeds to us, before expenses, will be €238.8 million ($252.2 million), based on the exchange rate on October 19, 2023.</w:t>
      </w:r>
    </w:p>
    <w:p>
      <w:pPr>
        <w:spacing w:after="0" w:line="50" w:lineRule="exact"/>
        <w:rPr>
          <w:sz w:val="24"/>
          <w:szCs w:val="24"/>
          <w:color w:val="auto"/>
        </w:rPr>
      </w:pPr>
    </w:p>
    <w:p>
      <w:pPr>
        <w:jc w:val="both"/>
        <w:ind w:left="120" w:right="380" w:firstLine="440"/>
        <w:spacing w:after="0" w:line="261" w:lineRule="auto"/>
        <w:rPr>
          <w:sz w:val="20"/>
          <w:szCs w:val="20"/>
          <w:color w:val="auto"/>
        </w:rPr>
      </w:pPr>
      <w:r>
        <w:rPr>
          <w:rFonts w:ascii="Arial" w:cs="Arial" w:eastAsia="Arial" w:hAnsi="Arial"/>
          <w:sz w:val="17"/>
          <w:szCs w:val="17"/>
          <w:color w:val="auto"/>
        </w:rPr>
        <w:t>The underwriters expect to deliver the ADSs to purchasers in the U.S. offering on or about October 24, 2023 through the book-entry facilities of The Depository Trust Company. The underwriters expect to deliver the ordinary shares to purchasers in the European private placement on or about October 24, 2023 through the book-entry facilities of Euroclear France.</w:t>
      </w:r>
    </w:p>
    <w:p>
      <w:pPr>
        <w:sectPr>
          <w:pgSz w:w="11900" w:h="16838" w:orient="portrait"/>
          <w:cols w:equalWidth="0" w:num="1">
            <w:col w:w="11140"/>
          </w:cols>
          <w:pgMar w:left="320" w:top="230" w:right="439" w:bottom="1440" w:gutter="0" w:footer="0" w:header="0"/>
        </w:sectPr>
      </w:pPr>
    </w:p>
    <w:p>
      <w:pPr>
        <w:spacing w:after="0" w:line="131" w:lineRule="exact"/>
        <w:rPr>
          <w:sz w:val="24"/>
          <w:szCs w:val="24"/>
          <w:color w:val="auto"/>
        </w:rPr>
      </w:pPr>
    </w:p>
    <w:p>
      <w:pPr>
        <w:ind w:left="120"/>
        <w:spacing w:after="0"/>
        <w:rPr>
          <w:sz w:val="20"/>
          <w:szCs w:val="20"/>
          <w:color w:val="auto"/>
        </w:rPr>
      </w:pPr>
      <w:r>
        <w:rPr>
          <w:rFonts w:ascii="Arial" w:cs="Arial" w:eastAsia="Arial" w:hAnsi="Arial"/>
          <w:sz w:val="21"/>
          <w:szCs w:val="21"/>
          <w:b w:val="1"/>
          <w:bCs w:val="1"/>
          <w:color w:val="auto"/>
        </w:rPr>
        <w:t>Morgan Stanley</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Leerink Partners</w:t>
      </w:r>
    </w:p>
    <w:p>
      <w:pPr>
        <w:spacing w:after="0" w:line="105" w:lineRule="exact"/>
        <w:rPr>
          <w:sz w:val="24"/>
          <w:szCs w:val="24"/>
          <w:color w:val="auto"/>
        </w:rPr>
      </w:pPr>
    </w:p>
    <w:p>
      <w:pPr>
        <w:sectPr>
          <w:pgSz w:w="11900" w:h="16838" w:orient="portrait"/>
          <w:cols w:equalWidth="0" w:num="2">
            <w:col w:w="8700" w:space="720"/>
            <w:col w:w="172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LifeSci Capital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Bryan, Garnier &amp; Co</w:t>
      </w:r>
    </w:p>
    <w:p>
      <w:pPr>
        <w:spacing w:after="0" w:line="111" w:lineRule="exact"/>
        <w:rPr>
          <w:sz w:val="24"/>
          <w:szCs w:val="24"/>
          <w:color w:val="auto"/>
        </w:rPr>
      </w:pPr>
    </w:p>
    <w:p>
      <w:pPr>
        <w:sectPr>
          <w:pgSz w:w="11900" w:h="16838" w:orient="portrait"/>
          <w:cols w:equalWidth="0" w:num="2">
            <w:col w:w="8600" w:space="720"/>
            <w:col w:w="182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The date of this prospectus is October 19, 2023.</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20" w:type="dxa"/>
            <w:vAlign w:val="bottom"/>
            <w:gridSpan w:val="27"/>
          </w:tcPr>
          <w:p>
            <w:pPr>
              <w:spacing w:after="0"/>
              <w:rPr>
                <w:sz w:val="20"/>
                <w:szCs w:val="20"/>
                <w:color w:val="auto"/>
              </w:rPr>
            </w:pPr>
            <w:r>
              <w:rPr>
                <w:rFonts w:ascii="Arial" w:cs="Arial" w:eastAsia="Arial" w:hAnsi="Arial"/>
                <w:sz w:val="18"/>
                <w:szCs w:val="18"/>
                <w:b w:val="1"/>
                <w:bCs w:val="1"/>
                <w:color w:val="0000EE"/>
              </w:rPr>
              <w:t>Table of Contents</w:t>
            </w:r>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0000EE"/>
              </w:rPr>
              <w:t>PROSPECTUS SUMMARY</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RISK FACTORS</w:t>
            </w:r>
          </w:p>
        </w:tc>
        <w:tc>
          <w:tcPr>
            <w:tcW w:w="772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402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20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2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CAPITALIZATION</w:t>
            </w:r>
          </w:p>
        </w:tc>
        <w:tc>
          <w:tcPr>
            <w:tcW w:w="8320" w:type="dxa"/>
            <w:vAlign w:val="bottom"/>
            <w:gridSpan w:val="1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DILUTION</w:t>
            </w:r>
          </w:p>
        </w:tc>
        <w:tc>
          <w:tcPr>
            <w:tcW w:w="8940" w:type="dxa"/>
            <w:vAlign w:val="bottom"/>
            <w:gridSpan w:val="2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8"/>
              </w:rPr>
              <w:t>ENFORCEMENT OF CIVIL LIABILITIES</w:t>
            </w:r>
          </w:p>
        </w:tc>
        <w:tc>
          <w:tcPr>
            <w:tcW w:w="660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BUSINESS</w:t>
            </w: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MANAGEMENT</w:t>
            </w:r>
          </w:p>
        </w:tc>
        <w:tc>
          <w:tcPr>
            <w:tcW w:w="8500" w:type="dxa"/>
            <w:vAlign w:val="bottom"/>
            <w:gridSpan w:val="2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5"/>
              </w:rPr>
              <w:t>CERTAIN RELATIONSHIPS AND RELATED PERSON TRANSACTIONS</w:t>
            </w:r>
          </w:p>
        </w:tc>
        <w:tc>
          <w:tcPr>
            <w:tcW w:w="420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4"/>
              </w:rPr>
              <w:t>PRINCIPAL SHAREHOLDERS</w:t>
            </w:r>
          </w:p>
        </w:tc>
        <w:tc>
          <w:tcPr>
            <w:tcW w:w="7420" w:type="dxa"/>
            <w:vAlign w:val="bottom"/>
            <w:gridSpan w:val="1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196</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SHARE CAPITAL</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6"/>
              </w:rPr>
              <w:t>LIMITATIONS AFFECTING SHAREHOLDERS OF A FRENCH COMPANY</w:t>
            </w:r>
          </w:p>
        </w:tc>
        <w:tc>
          <w:tcPr>
            <w:tcW w:w="404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222</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AMERICAN DEPOSITARY SHARES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223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ORDINARY SHARES AND ADSs ELIGIBLE FOR FUTURE SALE</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MATERIAL UNITED STATES FEDERAL INCOME AND FRENCH TAX CONSIDERATIONS</w:t>
            </w:r>
          </w:p>
        </w:tc>
        <w:tc>
          <w:tcPr>
            <w:tcW w:w="27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238</w:t>
            </w:r>
          </w:p>
        </w:tc>
      </w:tr>
      <w:tr>
        <w:trPr>
          <w:trHeight w:val="196"/>
        </w:trPr>
        <w:tc>
          <w:tcPr>
            <w:tcW w:w="120" w:type="dxa"/>
            <w:vAlign w:val="bottom"/>
          </w:tcPr>
          <w:p>
            <w:pPr>
              <w:spacing w:after="0"/>
              <w:rPr>
                <w:sz w:val="17"/>
                <w:szCs w:val="17"/>
                <w:color w:val="auto"/>
              </w:rPr>
            </w:pPr>
          </w:p>
        </w:tc>
        <w:tc>
          <w:tcPr>
            <w:tcW w:w="14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UNDERWRITERS</w:t>
            </w:r>
          </w:p>
        </w:tc>
        <w:tc>
          <w:tcPr>
            <w:tcW w:w="840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249</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EXPENSES RELATING TO THE GLOBAL OFFERING</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6"/>
              </w:rPr>
              <w:t>LEGAL MATTERS</w:t>
            </w:r>
          </w:p>
        </w:tc>
        <w:tc>
          <w:tcPr>
            <w:tcW w:w="2720" w:type="dxa"/>
            <w:vAlign w:val="bottom"/>
            <w:tcBorders>
              <w:top w:val="single" w:sz="8" w:color="0000EE"/>
            </w:tcBorders>
            <w:gridSpan w:val="10"/>
          </w:tcPr>
          <w:p>
            <w:pPr>
              <w:spacing w:after="0"/>
              <w:rPr>
                <w:sz w:val="17"/>
                <w:szCs w:val="17"/>
                <w:color w:val="auto"/>
              </w:rPr>
            </w:pPr>
          </w:p>
        </w:tc>
        <w:tc>
          <w:tcPr>
            <w:tcW w:w="562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EXPERTS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6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DISCLOSURE OF COMMISSION POSITION ON INDEMNIFICATION</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196"/>
        </w:trPr>
        <w:tc>
          <w:tcPr>
            <w:tcW w:w="120" w:type="dxa"/>
            <w:vAlign w:val="bottom"/>
          </w:tcPr>
          <w:p>
            <w:pPr>
              <w:spacing w:after="0"/>
              <w:rPr>
                <w:sz w:val="17"/>
                <w:szCs w:val="17"/>
                <w:color w:val="auto"/>
              </w:rPr>
            </w:pPr>
          </w:p>
        </w:tc>
        <w:tc>
          <w:tcPr>
            <w:tcW w:w="538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42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262</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INDEX TO THE FINANCIAL STATEMENTS</w:t>
            </w:r>
          </w:p>
        </w:tc>
        <w:tc>
          <w:tcPr>
            <w:tcW w:w="600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For investors outside the United States: Neither we nor any of the underwriters have done anything that would permit the global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ordinary shares and ADSs and the distribution of this prospectus outside the United States.</w:t>
      </w:r>
    </w:p>
    <w:p>
      <w:pPr>
        <w:spacing w:after="0" w:line="15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incorporated in France, and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Throughout this prospectus, references to ADSs mean ADSs or ordinary shares represented by ADSs, as the case may be.</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“Risk Factors.”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This prospectus includes our audited financial statements as of and for the years ended December 31, 2022 and 2021 prepared in accordance with International Financial Reporting Standards (“IFRS”), as issued by the International Accounting Standards Board (“IASB”). None of our financial statements were prepared in accordance with U.S. generally accepted accounting principles (“U.S. GAAP”).</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financial statements are presented in euros and, unless otherwise stated, all monetary amounts are in euros. All references in this prospectus to “$”, “U.S. dollars” and “dollars” mean U.S. dollars, and all references to “€”, “EUR” and “euros” mean European Monetary Union euros, unless otherwise noted.</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European Union uses a flexible exchange rate system to determine the value of the euro against the U.S. dollar. The following table sets forth the rate of exchange for the euro at the end of the five most recent fiscal periods ended December 31, the average rates for the period, and the range of high and low rates for the period. The data for the six months ended June 30, 2023 is also included.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For purposes of this table, the rate of exchange means the closing daily rate used by the U.S. Department of Treasury. The table sets forth the number of euros required under that formula to buy one U.S. dollar. The average rate means the average of the exchange rates on the last day of each month during the period.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Average</w:t>
            </w: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Low</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Close</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0.9240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0.9504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0.9046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0.9158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Fiscal Year Ended December 31, 2022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0.9526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1.0399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0.8705</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0.9348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0.8479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0.8929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0.8111</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0.8794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Fiscal Year Ended December 31, 2020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0.8727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0.9351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0.8131</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0.8185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2019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0.9176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0.8669</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0.8904</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Fiscal Year Ended December 31, 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0.8494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0.8880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0.8005</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0.8734</w:t>
            </w:r>
          </w:p>
        </w:tc>
      </w:tr>
    </w:tbl>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“Abivax” and the Abivax logo and other trademarks or service marks of Abivax SA appearing in this prospectus are the property of Abivax SA. Solely for convenience, the trademarks, service marks and trade names referred to in this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320" w:top="459"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our ordinary shares (including ordinary shares in the form of ADSs). You should read the entire prospectus carefully, including “Risk Factors” “Cautionary Note Regarding Forward-Looking Statements” “Business” “Management’s Discussion and Analysis of Financial Condition and Results of Operations” and our financial statements and the related notes appearing elsewhere in this prospectus before making an investment decision. Unless otherwise indicated or the context otherwise requires, “Abivax,” “the company,” “our company,” “we,” “us” and “our” refer to Abivax SA and its consolidated subsidiary, taken as a whole.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are a clinical-stage biotechnology company focused on developing therapeutics that harness the body’s natural regulatory mechanisms to modulate the immune response in patients with chronic inflammatory diseases. We are currently evaluating our lead drug candidate, obefazimod, in Phase 3 clinical trials for the treatment of adults with moderately to severely active ulcerative colitis (“UC”). We are also in the planning stages of initiating a Phase 2a clinical trial of obefazimod in patients with Crohn’s disease (“CD”), as well as evaluating other potential inflammatory indications.</w:t>
      </w:r>
    </w:p>
    <w:p>
      <w:pPr>
        <w:spacing w:after="0" w:line="188" w:lineRule="exact"/>
        <w:rPr>
          <w:sz w:val="20"/>
          <w:szCs w:val="20"/>
          <w:color w:val="auto"/>
        </w:rPr>
      </w:pPr>
    </w:p>
    <w:p>
      <w:pPr>
        <w:ind w:left="300" w:right="160" w:firstLine="426"/>
        <w:spacing w:after="0" w:line="293" w:lineRule="auto"/>
        <w:rPr>
          <w:sz w:val="20"/>
          <w:szCs w:val="20"/>
          <w:color w:val="auto"/>
        </w:rPr>
      </w:pPr>
      <w:r>
        <w:rPr>
          <w:rFonts w:ascii="Arial" w:cs="Arial" w:eastAsia="Arial" w:hAnsi="Arial"/>
          <w:sz w:val="16"/>
          <w:szCs w:val="16"/>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inflammatory bowel diseases (“IBD”), chronic conditions involving inflammation of the gastrointestinal (“GI”) tract, of which the two most common forms are UC and CD. As of 2022, an aggregate of approximately 2.9 million patients across the United States, EU4 (France, Germany, Italy and Spain), the United Kingdom and Japan suffered from IBD, with 1.5 million of these patients in the United States alone.</w:t>
      </w:r>
    </w:p>
    <w:p>
      <w:pPr>
        <w:spacing w:after="0" w:line="164"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One of the primary goals of IBD therapy is to achieve durable clinical remission while simultaneously taking into consideration a patient’s quality of life and concerns regarding potential side effects. Despite a number of different therapies approved for UC and CD, the vast majority of these therapies require chronic administration via injections or intravenous infusions, and may come with serious and concerning warnings, including, but not limited to, risks of serious infections leading to hospitalizations or death and increased risks of various malignancies. A vast majority of IBD patients do not achieve clinical remission with existing therapies, and a significant number of patients will lose response over time, especially those patients on TNF-a inhibitor therapy where anti-drug antibodies are very common. Further, despite the increased number of biosimilars, such as TNF-a inhibitor therapies, becoming available for the treatment of IBD, biosimilars unfortunately do not alleviate any of the potential side effect concerns that often cause patients to delay, or avoid altogether, stepping up to more advanced therapies. In addition, although a small number of oral therapies have more recently been approved for the treatment of IBD, these therapies also come with concerning potential side effects, which can discourage patients from initiating treatment with advanced therapies. Therefore, there continues to be significant unmet need for novel oral therapies with durable efficacy, improved safety profiles and minimal preinitiation requirements for patients with moderately to severely active IBD. Moreover, we believe the IBD market has significant growth potential driven by growing diagnosis of these diseases and increased penetration of oral treatments with improved benefit/risk profiles.</w:t>
      </w:r>
    </w:p>
    <w:p>
      <w:pPr>
        <w:spacing w:after="0" w:line="18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96" w:lineRule="auto"/>
        <w:rPr>
          <w:sz w:val="20"/>
          <w:szCs w:val="20"/>
          <w:color w:val="auto"/>
        </w:rPr>
      </w:pPr>
      <w:r>
        <w:rPr>
          <w:rFonts w:ascii="Arial" w:cs="Arial" w:eastAsia="Arial" w:hAnsi="Arial"/>
          <w:sz w:val="16"/>
          <w:szCs w:val="16"/>
          <w:color w:val="auto"/>
        </w:rPr>
        <w:t>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6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 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Janus kinase (“JAK”) inhibitors. Greater than 90% of patients previously exposed to advanced therapy prior to enrollment were highly refractory, having failed at least two advanced therapies.</w:t>
      </w:r>
    </w:p>
    <w:p>
      <w:pPr>
        <w:spacing w:after="0" w:line="166"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In April 2023, we reported the results from the final analysis of our Phase 2b open-label maintenance trial, including 217 patients of which 164 patients (76%) completed the second year of once-daily oral treatment with 50 mg obefazimod. At the conclusion of the second year of treatment, 114 of the 217 patients enrolled (53%) achieved clinical remission and 158 patients (73%) achieved clinical response. Among the 98 bio-refractory patients, 66 patients (67%) had a clinical response, 38 patients (39%) were in clinical remission, 46 patients (47%) had endoscopic improvement and 20 patients (20%) had endoscopic remission at week 96. Among the 124 patients that achieved clinical response at the end of the 8-week induction period of the double-blind study, 82 patients (66%) achieved clinical remission at week 48, mimicking the re-randomization of responders approach typically utilized in Phase 3 maintenance trials. Of the 124 patients in clinical response at week 8, 74 patients (60%) achieved clinical remission, 95 patients (77%) had clinical response, 79 patients (64%) achieved endoscopic improvement and 52 patients (42%) achieved endoscopic remission at week 96.</w:t>
      </w:r>
    </w:p>
    <w:p>
      <w:pPr>
        <w:spacing w:after="0" w:line="181"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 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 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19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Obefazimod’s tolerability profile indicates potentially important clinical differentiation. As of November 30, 2022 (the last safety data cut-off date), 1,074 patients and volunteers had been treated with obefazimod, of which 209 patients were treated with 50 mg obefazimod for one year or more with no change in the observed tolerability profile underscored by 76% of patients that remained on therapy throughout the two-year open-label maintenance trial period. No new adverse safety signals were observed.</w:t>
      </w:r>
    </w:p>
    <w:p>
      <w:pPr>
        <w:spacing w:after="0" w:line="187"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color w:val="auto"/>
        </w:rPr>
        <w:t>We initiated our pivotal Phase 3 clinical trials of obefazimod for the treatment of moderately to severely active UC in October 2022, which consist of two induction trials (ABTECT-1 and ABTECT-2) and one ABTECT maintenance trial. Top-line data from the ABTECT-1 and ABTECT-2 induction trials is expected to be announced in the first quarter of 2025, and top-line data from the ABTECT maintenance trial is expected to be announced in the first quarter of 2026. We intend to (i) file an Investigational New Drug Application (“IND”) in the fourth quarter of 2023, (ii) initiate a Phase 2a</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27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clinical trial in patients with CD in the first quarter of 2024 and (iii) announce Phase 2a induction trial top-line results in the second half of 2025 with the objective to demonstrate clinical response and tolerability profile consistent with that already observed in our clinical trials for moderately to severely active UC. Based on the results from this Phase 2a clinical trial, we intend to proceed directly to a Phase 3 clinical trial.</w:t>
      </w:r>
    </w:p>
    <w:p>
      <w:pPr>
        <w:spacing w:after="0" w:line="14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team is comprised of industry leaders in the fields of biology, data analytics and drug development, as well as scientific experts in chronic inflammatory diseases, including IBD. We are led by Marc de Garidel, our Chief Executive Officer, who has more than 40 years of experience in the pharmaceutical and biotechnology sector.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300" w:right="60" w:firstLine="426"/>
        <w:spacing w:after="0" w:line="311" w:lineRule="auto"/>
        <w:rPr>
          <w:sz w:val="20"/>
          <w:szCs w:val="20"/>
          <w:color w:val="auto"/>
        </w:rPr>
      </w:pPr>
      <w:r>
        <w:rPr>
          <w:rFonts w:ascii="Arial" w:cs="Arial" w:eastAsia="Arial" w:hAnsi="Arial"/>
          <w:sz w:val="16"/>
          <w:szCs w:val="16"/>
          <w:color w:val="auto"/>
        </w:rPr>
        <w:t>Our lead drug candidate, obefazimod, is in clinical development for the treatment of moderately to severely active 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the miR-124 platform.</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chart below sets forth details relating to the current stages of development of our lead drug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 Decision subject to results of the Phase 3 monotherapy induction trials.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IBD Overview and Limitations of Existing Treatments</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IBD, such as UC and CD, is a chronic life-long immune-mediated inflammatory condition of the GI tract with many contributing factors, including genetic, environmental and immunologic. UC and CD are the two most common forms of IBD and are characterized by dysregulation of lymphocytes contributing to inflammation. Both UC and CD are chronic, relapsing, remitting, inflammatory conditions of the GI tract that begin most commonly during adolescence and young adulthood. UC involves the innermost lining of the large intestine, and symptoms include abdominal pain and diarrhea, frequently with blood and mucus. CD can affect the entire thickness of the bowel wall and all parts of the GI tract from mouth to anus. CD symptoms include abdominal pain, diarrhea and other more systemic symptoms, such as weight loss, nutritional deficiencies and fever.</w:t>
      </w:r>
    </w:p>
    <w:p>
      <w:pPr>
        <w:spacing w:after="0" w:line="19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IBD, as of 2022, affected approximately 1.5 million patients in the United States alone. As of 2022, the prevalence of UC and CD in the United States were estimated at approximately 0.9 million and 0.6 million patients, respectively. The prevalence of IBD in the EU4 and the United Kingdom is estimated at 1.2 million with</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approximately 0.7 million patients with UC and 0.5 million patients with CD. As of 2022, an aggregate of approximately 2.9 million patients across the United States, EU4, the United Kingdom and Japan suffered from IBD. This figure is expected to grow to approximately 3.0 million patients by 2028.</w:t>
      </w:r>
    </w:p>
    <w:p>
      <w:pPr>
        <w:spacing w:after="0" w:line="184"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In 2022, pharmaceutical sales in IBD were $16.3 billion in the United States and $7.4 billion in the rest of the world, totaling $23.7 billion worldwide. In 2028, pharmaceutical sales in IBD are estimated to be $17.5 billion and $26.8 billion in the United States and worldwide, respectively. Worldwide sales in the UC market were $7.4 billion in 2022 and are estimated to be $10.2 billion in 2028, while in the CD market worldwide sales reached $16.3 billion in 2022 and are estimated to be $16.6 billion in 2028. We believe the IBD market has significant growth potential driven by growing diagnosis of these diseases and increased penetration of oral treatments with improved benefit/risk profiles.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w:t>
      </w:r>
    </w:p>
    <w:p>
      <w:pPr>
        <w:spacing w:after="0" w:line="165"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Despite the widespread use of conventional therapies to treat mild to moderately active IBD, due to the progressive and lifelong nature of both UC and CD, for many patients the severity of their disease progresses in activity and are considered moderately to severely active. This requires patients and their physicians to consider using more targeted therapies typically termed “advanced therapies.” The majority of advanced therapies require chronic parenteral administration including TNF-a inhibitors (e.g., infliximab, adalimumab and golimumab), Interleukin (“IL”)-12/23 inhibitor (ustekinumab), anti-integrin antibodies (vedolizumab) or IL-23 inhibitors (mirikizumab). There are also two classes of oral treatments including JAK inhibitors (e.g., tofacitinib, filgotinib and upadacitinib) and sphingosine-1-phosphate (“S1P”) receptor agonists (ozanimod). Although these therapies have demonstrated efficacy in UC and/or CD, the majority of IBD patients do not achieve clinical remission, and a significant number of patients lose response over time, especially those treated with TNF-a inhibitor therapies where anti-drug antibodies are common. Due to mechanisms of action that are poorly understood, with each line of advanced therapy that is exhausted, patients become less likely to respond to the next advanced therapy utilized in the sequence of care. Moreover, each of the advanced therapy classes are associated with notable side effect and safety tradeoffs that must be considered before initiating treatment.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We believe the following strengths will allow us to advance our proprietary drug candidates through clinical trials, while building upon our advanced position in the development of therapeutics for IBD and other chronic inflammatory diseases:</w:t>
      </w:r>
    </w:p>
    <w:p>
      <w:pPr>
        <w:spacing w:after="0" w:line="72" w:lineRule="exact"/>
        <w:rPr>
          <w:sz w:val="20"/>
          <w:szCs w:val="20"/>
          <w:color w:val="auto"/>
        </w:rPr>
      </w:pPr>
    </w:p>
    <w:p>
      <w:pPr>
        <w:ind w:left="1240" w:hanging="415"/>
        <w:spacing w:after="0"/>
        <w:tabs>
          <w:tab w:leader="none" w:pos="1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Our focus on indications of high unmet need and substantial commercial potential, with an initial focus on IBD.</w:t>
      </w:r>
    </w:p>
    <w:p>
      <w:pPr>
        <w:spacing w:after="0" w:line="121" w:lineRule="exact"/>
        <w:rPr>
          <w:sz w:val="20"/>
          <w:szCs w:val="20"/>
          <w:color w:val="auto"/>
        </w:rPr>
      </w:pPr>
    </w:p>
    <w:p>
      <w:pPr>
        <w:ind w:left="1260"/>
        <w:spacing w:after="0" w:line="257" w:lineRule="auto"/>
        <w:rPr>
          <w:sz w:val="20"/>
          <w:szCs w:val="20"/>
          <w:color w:val="auto"/>
        </w:rPr>
      </w:pPr>
      <w:r>
        <w:rPr>
          <w:rFonts w:ascii="Arial" w:cs="Arial" w:eastAsia="Arial" w:hAnsi="Arial"/>
          <w:sz w:val="18"/>
          <w:szCs w:val="18"/>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IBD, chronic conditions involving inflammation of the GI tract, of which the two most common forms are UC and CD.</w:t>
      </w:r>
    </w:p>
    <w:p>
      <w:pPr>
        <w:spacing w:after="0" w:line="80" w:lineRule="exact"/>
        <w:rPr>
          <w:sz w:val="20"/>
          <w:szCs w:val="20"/>
          <w:color w:val="auto"/>
        </w:rPr>
      </w:pPr>
    </w:p>
    <w:p>
      <w:pPr>
        <w:ind w:left="1260"/>
        <w:spacing w:after="0" w:line="259" w:lineRule="auto"/>
        <w:rPr>
          <w:sz w:val="20"/>
          <w:szCs w:val="20"/>
          <w:color w:val="auto"/>
        </w:rPr>
      </w:pPr>
      <w:r>
        <w:rPr>
          <w:rFonts w:ascii="Arial" w:cs="Arial" w:eastAsia="Arial" w:hAnsi="Arial"/>
          <w:sz w:val="18"/>
          <w:szCs w:val="18"/>
          <w:color w:val="auto"/>
        </w:rPr>
        <w:t>We believe the IBD market has significant growth potential driven by growing diagnosis of these diseases and increased penetration of oral treatments with improved benefit/risk profiles. We believe the need for differentiated treatment options is high, in particular for patients with moderate and severe forms of IBD, for whom available therapies often have limited efficacy and durability while carrying significant safety and tolerability challenges.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believe we are market leaders in leveraging micro-RNA biology to target inflammation.</w:t>
      </w:r>
    </w:p>
    <w:p>
      <w:pPr>
        <w:spacing w:after="0" w:line="121" w:lineRule="exact"/>
        <w:rPr>
          <w:sz w:val="20"/>
          <w:szCs w:val="20"/>
          <w:color w:val="auto"/>
        </w:rPr>
      </w:pPr>
    </w:p>
    <w:p>
      <w:pPr>
        <w:ind w:left="1260"/>
        <w:spacing w:after="0" w:line="290" w:lineRule="auto"/>
        <w:rPr>
          <w:sz w:val="20"/>
          <w:szCs w:val="20"/>
          <w:color w:val="auto"/>
        </w:rPr>
      </w:pPr>
      <w:r>
        <w:rPr>
          <w:rFonts w:ascii="Arial" w:cs="Arial" w:eastAsia="Arial" w:hAnsi="Arial"/>
          <w:sz w:val="16"/>
          <w:szCs w:val="16"/>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67"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Robust data generated from our Phase 2 clinical trials of obefazimod for the treatment of moderately to severely active UC.</w:t>
      </w:r>
    </w:p>
    <w:p>
      <w:pPr>
        <w:spacing w:after="0" w:line="144" w:lineRule="exact"/>
        <w:rPr>
          <w:sz w:val="20"/>
          <w:szCs w:val="20"/>
          <w:color w:val="auto"/>
        </w:rPr>
      </w:pPr>
    </w:p>
    <w:p>
      <w:pPr>
        <w:ind w:left="1260" w:right="40"/>
        <w:spacing w:after="0" w:line="271" w:lineRule="auto"/>
        <w:rPr>
          <w:sz w:val="20"/>
          <w:szCs w:val="20"/>
          <w:color w:val="auto"/>
        </w:rPr>
      </w:pPr>
      <w:r>
        <w:rPr>
          <w:rFonts w:ascii="Arial" w:cs="Arial" w:eastAsia="Arial" w:hAnsi="Arial"/>
          <w:sz w:val="17"/>
          <w:szCs w:val="17"/>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 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JAK inhibitors. Greater than 90% of patients previously exposed to advanced therapy prior to enrollment were highly refractory, having failed at least two advanced therapies.</w:t>
      </w:r>
    </w:p>
    <w:p>
      <w:pPr>
        <w:spacing w:after="0" w:line="80"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Our lead drug candidate, obefazimod, has been well-tolerated in our clinical trials to date.</w:t>
      </w:r>
    </w:p>
    <w:p>
      <w:pPr>
        <w:spacing w:after="0" w:line="121" w:lineRule="exact"/>
        <w:rPr>
          <w:sz w:val="20"/>
          <w:szCs w:val="20"/>
          <w:color w:val="auto"/>
        </w:rPr>
      </w:pPr>
    </w:p>
    <w:p>
      <w:pPr>
        <w:ind w:left="1260" w:right="100"/>
        <w:spacing w:after="0" w:line="269" w:lineRule="auto"/>
        <w:rPr>
          <w:sz w:val="20"/>
          <w:szCs w:val="20"/>
          <w:color w:val="auto"/>
        </w:rPr>
      </w:pPr>
      <w:r>
        <w:rPr>
          <w:rFonts w:ascii="Arial" w:cs="Arial" w:eastAsia="Arial" w:hAnsi="Arial"/>
          <w:sz w:val="17"/>
          <w:szCs w:val="17"/>
          <w:color w:val="auto"/>
        </w:rPr>
        <w:t>Obefazimod’s tolerability profile indicates potentially important clinical differentiation. Many existing therapies for IBD have been limited by safety and tolerability concerns, including increased risks of serious infections or various malignancies, sometimes requiring warning labels. By contrast, as of November 30, 2022 (the last safety data cut-off date), the tolerability profile of obefazimod is supported by more than 1,074 patients and volunteers that had been treated with obefazimod, of which 209 patients were treated with 50 mg obefazimod for one year or more with no change in the observed tolerability profile. In addition, to date, the entire obefazimod safety database presents no death or malignancies and no reported clinically significant changes in laboratory parameters, such as liver function, hemoglobin levels and white blood cell counts. The most common treatment emergent adverse event (“TEAE”) reported has been mild to moderate headache, which has been transient and manageable with or without over-the-counter medications. Furthermore, at present, no increased rate of opportunistic infections or malignancies compared with placebo have been observed across all clinical trials.</w:t>
      </w:r>
    </w:p>
    <w:p>
      <w:pPr>
        <w:spacing w:after="0" w:line="87" w:lineRule="exact"/>
        <w:rPr>
          <w:sz w:val="20"/>
          <w:szCs w:val="20"/>
          <w:color w:val="auto"/>
        </w:rPr>
      </w:pPr>
    </w:p>
    <w:p>
      <w:pPr>
        <w:ind w:left="1240" w:right="520" w:hanging="415"/>
        <w:spacing w:after="0" w:line="282" w:lineRule="auto"/>
        <w:tabs>
          <w:tab w:leader="none" w:pos="1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Compelling and differentiating clinical characteristics position obefazimod as a potential first-line advanced therapy for moderately to severely active UC.</w:t>
      </w:r>
    </w:p>
    <w:p>
      <w:pPr>
        <w:spacing w:after="0" w:line="58" w:lineRule="exact"/>
        <w:rPr>
          <w:sz w:val="20"/>
          <w:szCs w:val="20"/>
          <w:color w:val="auto"/>
        </w:rPr>
      </w:pPr>
    </w:p>
    <w:p>
      <w:pPr>
        <w:ind w:left="1260" w:right="60"/>
        <w:spacing w:after="0" w:line="257" w:lineRule="auto"/>
        <w:rPr>
          <w:sz w:val="20"/>
          <w:szCs w:val="20"/>
          <w:color w:val="auto"/>
        </w:rPr>
      </w:pPr>
      <w:r>
        <w:rPr>
          <w:rFonts w:ascii="Arial" w:cs="Arial" w:eastAsia="Arial" w:hAnsi="Arial"/>
          <w:sz w:val="18"/>
          <w:szCs w:val="18"/>
          <w:color w:val="auto"/>
        </w:rPr>
        <w:t>Therapies currently available to patients with UC in the first-line setting are limited to older, broad immunosuppressive agents with safety, tolerability and efficacy challenges. Advanced therapies, which include biologic agents such as TNF-a inhibitors, IL-12/23 inhibitors or IL-23 inhibitors, carry significant safety and tolerability challenges and their administration, as injectable agents, is not convenient to patients. Newer oral molecules, such as JAK inhibitors and S1P receptor agonists, while addressing convenient route of administration for patients, also present safety and tolerability</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line="286" w:lineRule="auto"/>
        <w:rPr>
          <w:sz w:val="20"/>
          <w:szCs w:val="20"/>
          <w:color w:val="auto"/>
        </w:rPr>
      </w:pPr>
      <w:r>
        <w:rPr>
          <w:rFonts w:ascii="Arial" w:cs="Arial" w:eastAsia="Arial" w:hAnsi="Arial"/>
          <w:sz w:val="17"/>
          <w:szCs w:val="17"/>
          <w:color w:val="auto"/>
        </w:rPr>
        <w:t>challenges. Comparatively, 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 approved.</w:t>
      </w:r>
    </w:p>
    <w:p>
      <w:pPr>
        <w:spacing w:after="0" w:line="67" w:lineRule="exact"/>
        <w:rPr>
          <w:sz w:val="20"/>
          <w:szCs w:val="20"/>
          <w:color w:val="auto"/>
        </w:rPr>
      </w:pPr>
    </w:p>
    <w:p>
      <w:pPr>
        <w:ind w:left="1240" w:right="300" w:hanging="415"/>
        <w:spacing w:after="0" w:line="282" w:lineRule="auto"/>
        <w:tabs>
          <w:tab w:leader="none" w:pos="1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Our experienced team is comprised of global industry leaders in the development of therapeutics for chronic inflammatory diseases.</w:t>
      </w:r>
    </w:p>
    <w:p>
      <w:pPr>
        <w:spacing w:after="0" w:line="58" w:lineRule="exact"/>
        <w:rPr>
          <w:sz w:val="20"/>
          <w:szCs w:val="20"/>
          <w:color w:val="auto"/>
        </w:rPr>
      </w:pPr>
    </w:p>
    <w:p>
      <w:pPr>
        <w:ind w:left="1260"/>
        <w:spacing w:after="0" w:line="270" w:lineRule="auto"/>
        <w:rPr>
          <w:sz w:val="20"/>
          <w:szCs w:val="20"/>
          <w:color w:val="auto"/>
        </w:rPr>
      </w:pPr>
      <w:r>
        <w:rPr>
          <w:rFonts w:ascii="Arial" w:cs="Arial" w:eastAsia="Arial" w:hAnsi="Arial"/>
          <w:sz w:val="17"/>
          <w:szCs w:val="17"/>
          <w:color w:val="auto"/>
        </w:rPr>
        <w:t>We believe that the breadth of experience and accomplishments of our management team, board of directors and scientific advisory board, combined with our broad network of established relationships with leaders in the industry and medical community, provide us with fresh insights into drug development and commercialization, and have allowed us to bring together top researchers to build interdisciplinary research and development teams. We are led by Marc de Garidel, our Chief Executive Officer, who has more than 40 years of experience in the pharmaceutical and biotechnology sector and successfully led the sales of CinCor Pharma to AstraZeneca in 2023 and Corvidia Therapeutics to Novo Nordisk in 2020.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Our primary goal is to develop and commercialize obefazimod for the treatment of inflammatory diseases, starting with moderately to severely active UC. We have already generated compelling data in moderately to severely active UC from our Phase 2a and 2b clinical trials, which we believe provides us with potential readthrough into a broader set of inflammatory diseases. We focus on indications with high unmet needs with substantial commercial potential. To achieve our goal, we are pursuing the following key elements of our strategy:</w:t>
      </w:r>
    </w:p>
    <w:p>
      <w:pPr>
        <w:spacing w:after="0" w:line="73" w:lineRule="exact"/>
        <w:rPr>
          <w:sz w:val="20"/>
          <w:szCs w:val="20"/>
          <w:color w:val="auto"/>
        </w:rPr>
      </w:pPr>
    </w:p>
    <w:p>
      <w:pPr>
        <w:ind w:left="1240" w:right="380" w:hanging="415"/>
        <w:spacing w:after="0" w:line="282" w:lineRule="auto"/>
        <w:tabs>
          <w:tab w:leader="none" w:pos="1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Advance obefazimod through pivotal clinical trials and establish obefazimod as a potential first-line advanced therapy for IBD.</w:t>
      </w:r>
    </w:p>
    <w:p>
      <w:pPr>
        <w:spacing w:after="0" w:line="58" w:lineRule="exact"/>
        <w:rPr>
          <w:sz w:val="20"/>
          <w:szCs w:val="20"/>
          <w:color w:val="auto"/>
        </w:rPr>
      </w:pPr>
    </w:p>
    <w:p>
      <w:pPr>
        <w:ind w:left="1260"/>
        <w:spacing w:after="0" w:line="257" w:lineRule="auto"/>
        <w:rPr>
          <w:sz w:val="20"/>
          <w:szCs w:val="20"/>
          <w:color w:val="auto"/>
        </w:rPr>
      </w:pPr>
      <w:r>
        <w:rPr>
          <w:rFonts w:ascii="Arial" w:cs="Arial" w:eastAsia="Arial" w:hAnsi="Arial"/>
          <w:sz w:val="18"/>
          <w:szCs w:val="18"/>
          <w:color w:val="auto"/>
        </w:rPr>
        <w:t>We believe that the strength of the data we have generated in our Phase 2 clinical trials, specifically the potential to demonstrate rapid onset of action and durability of safety and efficacy results (as evidenced by a clinical remission rate of 53%, clinical response rate of 73% and no new adverse safety signals observed from our two-year Phase 2b open-label maintenance trial), if supported by the results of our Phase 3 clinical trials, uniquely positions obefazimod as a potential first-line advanced therapy choice for moderately to severely active UC, if approved.</w:t>
      </w:r>
    </w:p>
    <w:p>
      <w:pPr>
        <w:spacing w:after="0" w:line="80" w:lineRule="exact"/>
        <w:rPr>
          <w:sz w:val="20"/>
          <w:szCs w:val="20"/>
          <w:color w:val="auto"/>
        </w:rPr>
      </w:pPr>
    </w:p>
    <w:p>
      <w:pPr>
        <w:ind w:left="1260" w:right="40"/>
        <w:spacing w:after="0" w:line="254" w:lineRule="auto"/>
        <w:rPr>
          <w:sz w:val="20"/>
          <w:szCs w:val="20"/>
          <w:color w:val="auto"/>
        </w:rPr>
      </w:pPr>
      <w:r>
        <w:rPr>
          <w:rFonts w:ascii="Arial" w:cs="Arial" w:eastAsia="Arial" w:hAnsi="Arial"/>
          <w:sz w:val="18"/>
          <w:szCs w:val="18"/>
          <w:color w:val="auto"/>
        </w:rPr>
        <w:t>Based on the positive clinical data generated in our UC trials, preclinical studies in dextran sulfate sodium mouse model which provide support for pursuing further development in CD, and underlying biological and mechanistic rationale, we plan to initiate a Phase 2a clinical trial in patients with CD in the first quarter of 2024 to potentially demonstrate outcomes consistent with those observed in our Phase 2 clinical trials for moderately to severely active UC. CD shares many of the underlying pathophysiological processes and clinical manifestations of UC, and, as a result, the current treatment paradigm of CD is similar to UC. In addition, we believe that obefazimod’s clinical profile observed to-date lends itself to potential combinations with existing or new therapies, which we are exploring.</w:t>
      </w:r>
    </w:p>
    <w:p>
      <w:pPr>
        <w:spacing w:after="0" w:line="96"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Disrupt the IBD landscape in the near-term with our Phase 3 data beginning in 2025.</w:t>
      </w:r>
    </w:p>
    <w:p>
      <w:pPr>
        <w:spacing w:after="0" w:line="121" w:lineRule="exact"/>
        <w:rPr>
          <w:sz w:val="20"/>
          <w:szCs w:val="20"/>
          <w:color w:val="auto"/>
        </w:rPr>
      </w:pPr>
    </w:p>
    <w:p>
      <w:pPr>
        <w:ind w:left="1260" w:right="280"/>
        <w:spacing w:after="0" w:line="277" w:lineRule="auto"/>
        <w:rPr>
          <w:sz w:val="20"/>
          <w:szCs w:val="20"/>
          <w:color w:val="auto"/>
        </w:rPr>
      </w:pPr>
      <w:r>
        <w:rPr>
          <w:rFonts w:ascii="Arial" w:cs="Arial" w:eastAsia="Arial" w:hAnsi="Arial"/>
          <w:sz w:val="18"/>
          <w:szCs w:val="18"/>
          <w:color w:val="auto"/>
        </w:rPr>
        <w:t>Currently available therapies have limited efficacy and durability that wanes over time, have extensive pre-initiation requirements, carry significant safety and tolerability challenges (such as black box safety</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line="273" w:lineRule="auto"/>
        <w:rPr>
          <w:sz w:val="20"/>
          <w:szCs w:val="20"/>
          <w:color w:val="auto"/>
        </w:rPr>
      </w:pPr>
      <w:r>
        <w:rPr>
          <w:rFonts w:ascii="Arial" w:cs="Arial" w:eastAsia="Arial" w:hAnsi="Arial"/>
          <w:sz w:val="17"/>
          <w:szCs w:val="17"/>
          <w:color w:val="auto"/>
        </w:rPr>
        <w:t>warnings), and most of them are injectable biologics.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 We believe obefazimod’s novel mechanism of action that modulates multiple inflammatory pathways simultaneously offers a potentially differentiated oral treatment option that may lead to more durability of efficacy results as we observed in our Phase 2 clinical trials.</w:t>
      </w:r>
    </w:p>
    <w:p>
      <w:pPr>
        <w:spacing w:after="0" w:line="79"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Leverage library of miR-124 enhancers to expand our pipeline.</w:t>
      </w:r>
    </w:p>
    <w:p>
      <w:pPr>
        <w:spacing w:after="0" w:line="121" w:lineRule="exact"/>
        <w:rPr>
          <w:sz w:val="20"/>
          <w:szCs w:val="20"/>
          <w:color w:val="auto"/>
        </w:rPr>
      </w:pPr>
    </w:p>
    <w:p>
      <w:pPr>
        <w:ind w:left="1260" w:right="60"/>
        <w:spacing w:after="0" w:line="255" w:lineRule="auto"/>
        <w:rPr>
          <w:sz w:val="20"/>
          <w:szCs w:val="20"/>
          <w:color w:val="auto"/>
        </w:rPr>
      </w:pPr>
      <w:r>
        <w:rPr>
          <w:rFonts w:ascii="Arial" w:cs="Arial" w:eastAsia="Arial" w:hAnsi="Arial"/>
          <w:sz w:val="18"/>
          <w:szCs w:val="18"/>
          <w:color w:val="auto"/>
        </w:rPr>
        <w:t>Based on the mechanistic concept of obefazimod, we have launched a research and development program to generate new potential drug candidates to strengthen our intellectual property portfolio on the miR-124 platform and to identify additional drug candidates from our proprietary small molecule library that includes additional miR-124 enhancers. Our strategy is to conduct proof-of-concept studies with obefazimod to show that enhanced expression of miR-124 demonstrates disease-modifying effects in other inflammatory conditions where there is unmet medical need. To further our strategy, our first follow-on drug candidate is expected to be selected and enter preclinical development in 2024.</w:t>
      </w:r>
    </w:p>
    <w:p>
      <w:pPr>
        <w:spacing w:after="0" w:line="94"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Opportunistically evaluate strategic partnerships to maximize the value of obefazimod and our therapeutic pipeline.</w:t>
      </w:r>
    </w:p>
    <w:p>
      <w:pPr>
        <w:spacing w:after="0" w:line="133" w:lineRule="exact"/>
        <w:rPr>
          <w:sz w:val="20"/>
          <w:szCs w:val="20"/>
          <w:color w:val="auto"/>
        </w:rPr>
      </w:pPr>
    </w:p>
    <w:p>
      <w:pPr>
        <w:ind w:left="1260" w:right="40"/>
        <w:spacing w:after="0" w:line="263" w:lineRule="auto"/>
        <w:rPr>
          <w:sz w:val="20"/>
          <w:szCs w:val="20"/>
          <w:color w:val="auto"/>
        </w:rPr>
      </w:pPr>
      <w:r>
        <w:rPr>
          <w:rFonts w:ascii="Arial" w:cs="Arial" w:eastAsia="Arial" w:hAnsi="Arial"/>
          <w:sz w:val="18"/>
          <w:szCs w:val="18"/>
          <w:color w:val="auto"/>
        </w:rPr>
        <w:t>We currently hold and intend to retain worldwide development and commercialization rights for obefazimod. For certain geographies, we may opportunistically enter into strategic partnerships to accelerate development activities in order to realize the commercial potential of obefazimod as well as other assets in our pipeline.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300" w:right="200" w:firstLine="426"/>
        <w:spacing w:after="0" w:line="286" w:lineRule="auto"/>
        <w:rPr>
          <w:sz w:val="20"/>
          <w:szCs w:val="20"/>
          <w:color w:val="auto"/>
        </w:rPr>
      </w:pPr>
      <w:r>
        <w:rPr>
          <w:rFonts w:ascii="Arial" w:cs="Arial" w:eastAsia="Arial" w:hAnsi="Arial"/>
          <w:sz w:val="17"/>
          <w:szCs w:val="17"/>
          <w:color w:val="auto"/>
        </w:rPr>
        <w:t>Our team is comprised of industry leaders in the fields of biology, data analytics and drug development, as well as scientific experts in chronic inflammatory diseases including IBD, with 34 full-time employees as of June 30, 2023. Collectively, our team has decades of experience and a proven track record of advancing compounds into and through clinical development and commercialization.</w:t>
      </w:r>
    </w:p>
    <w:p>
      <w:pPr>
        <w:spacing w:after="0" w:line="165" w:lineRule="exact"/>
        <w:rPr>
          <w:sz w:val="20"/>
          <w:szCs w:val="20"/>
          <w:color w:val="auto"/>
        </w:rPr>
      </w:pPr>
    </w:p>
    <w:p>
      <w:pPr>
        <w:ind w:left="300" w:right="140" w:firstLine="426"/>
        <w:spacing w:after="0" w:line="257" w:lineRule="auto"/>
        <w:rPr>
          <w:sz w:val="20"/>
          <w:szCs w:val="20"/>
          <w:color w:val="auto"/>
        </w:rPr>
      </w:pPr>
      <w:r>
        <w:rPr>
          <w:rFonts w:ascii="Arial" w:cs="Arial" w:eastAsia="Arial" w:hAnsi="Arial"/>
          <w:sz w:val="18"/>
          <w:szCs w:val="18"/>
          <w:color w:val="auto"/>
        </w:rPr>
        <w:t>Marc de Garidel, our Chief Executive Officer, has more than 40 years of experience in the pharmaceutical and biotechnology sector, including 12 years of experience as Chief Executive Officer of pharmaceutical and biotechnology companies. Between July 2021 and April 2023, he served as Chief Executive Officer of CinCor Pharma and led its successful sale for up to $1.8 billion, subject to the achievement of certain milestones, to AstraZeneca in February 2023. From April 2018 until August 2020, he was Chief Executive Officer of Corvidia Therapeutics and led its sale to Novo Nordisk for $2.1 billion in total consideration.</w:t>
      </w:r>
    </w:p>
    <w:p>
      <w:pPr>
        <w:spacing w:after="0" w:line="18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Our management team also consists of other top industry veterans such as Didier Blondel, our Chief Financial Officer and Board Secretary, who was previously Chief Financial Officer at Sanofi Pasteur MSD; Sheldon Sloan, MD, M Bioethics, our Chief Medical Officer, who has over 30 years of experience in academia and the biopharmaceutical industry, with an extensive track record in the field of gastroenterology and IBD; Michael Ferguson, MBA, our Chief Commercial Officer, who has over 22 years of experience in the biopharmaceutical industry, including 13 years in leading commercial positions at Shire/Takeda, followed by Arena Pharmaceuticals; Pierre Courteille, Pharmacist, MBA, our Chief Business Officer, who has more than 25 years of experience in marketing, sales and business development within the pharmaceutical industry; and Didier Scherrer, Ph.D., our Chief Scientific Officer, who has extensive experience in the development of a portfolio of therapeutics in oncology, viral diseases and autoimmune / inflammatory diseases.</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board of directors is led by our Chairman and Chief Executive Officer, Marc de Garidel. Additional board members include: Corinna zur Bonsen-Thomas, Co-founder and Chief Executive Officer of RetInSight and former General Counsel at Baxter International; Carol Brosgart, MD, Clinical Professor of Medicine, Epidemiology and Biostatistics at the University of California, San Francisco; Kinam Hong MD, MBA, CFA, Partner at the Crossover Fund of Sofinnova; Troy Ignelzi, CFO of Karuna Therapeutics; June Lee, MD, Venture Partner at 5AM Ventures; Paolo Rampulla, representing Santé Holdings SRL; and Philippe Pouletty, MD, our founder and Managing Partner at Truffle Capital, representing Truffle Capital.</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 investment in our securities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ordinary shares or ADSs. Among these important risks are the following:</w:t>
      </w:r>
    </w:p>
    <w:p>
      <w:pPr>
        <w:spacing w:after="0" w:line="92" w:lineRule="exact"/>
        <w:rPr>
          <w:sz w:val="20"/>
          <w:szCs w:val="20"/>
          <w:color w:val="auto"/>
        </w:rPr>
      </w:pPr>
    </w:p>
    <w:p>
      <w:pPr>
        <w:ind w:left="1240" w:right="8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 clinical-stage company with a limited operating history and no approved products and no historical product revenues, which makes it difficult to assess our future prospects and financial results.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considerable losses historically, which we anticipate will continue and may increase in the future.</w:t>
      </w:r>
    </w:p>
    <w:p>
      <w:pPr>
        <w:spacing w:after="0" w:line="130"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if we consummate the offering, we will require substantial additional funding, which may not be available on acceptable terms or at all, and failure to obtain this necessary capital may force us to delay, limit or terminate our product development efforts or other operations.</w:t>
      </w:r>
    </w:p>
    <w:p>
      <w:pPr>
        <w:spacing w:after="0" w:line="89"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statements contain a footnote describing management’s assumption regarding our ability to continue as a going concern, which could prevent us from obtaining new financing on reasonable terms or at all.</w:t>
      </w:r>
    </w:p>
    <w:p>
      <w:pPr>
        <w:spacing w:after="0" w:line="75" w:lineRule="exact"/>
        <w:rPr>
          <w:rFonts w:ascii="Arial" w:cs="Arial" w:eastAsia="Arial" w:hAnsi="Arial"/>
          <w:sz w:val="18"/>
          <w:szCs w:val="18"/>
          <w:color w:val="auto"/>
        </w:rPr>
      </w:pPr>
    </w:p>
    <w:p>
      <w:pPr>
        <w:ind w:left="1240" w:right="180" w:hanging="415"/>
        <w:spacing w:after="0" w:line="28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significant debt commitments, which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70" w:lineRule="exact"/>
        <w:rPr>
          <w:rFonts w:ascii="Arial" w:cs="Arial" w:eastAsia="Arial" w:hAnsi="Arial"/>
          <w:sz w:val="17"/>
          <w:szCs w:val="17"/>
          <w:color w:val="auto"/>
        </w:rPr>
      </w:pPr>
    </w:p>
    <w:p>
      <w:pPr>
        <w:ind w:left="1240" w:right="10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principal tangible and intangible assets serve as collateral under the terms of debt agreements for the Kreos / Claret Financing. If we default on these debt obligations, the Secured Lenders could foreclose on those assets, and we would be unable to continue our business and operations.</w:t>
      </w:r>
    </w:p>
    <w:p>
      <w:pPr>
        <w:spacing w:after="0" w:line="89"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candidates under development must undergo costly, rigorous and highly regulated preclinical studies and clinical trials, whose time of completion, number and outcomes are uncertain.</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may depend on our most advanced clinical development program, obefazimod, since our other drug candidates are in a less advanced stage of development.</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expand our organization, and as a result, we may encounter difficulties in managing our growth, which could disrupt our operations.</w:t>
      </w:r>
    </w:p>
    <w:p>
      <w:pPr>
        <w:spacing w:after="0" w:line="75"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a small number of third-party suppliers, and in certain cases a single-source supplier, and we may be in a position of dependence with respect to our subcontractors.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our key executives and to attract, retain and motivate qualified personnel.</w:t>
      </w:r>
    </w:p>
    <w:p>
      <w:pPr>
        <w:spacing w:after="0" w:line="142" w:lineRule="exact"/>
        <w:rPr>
          <w:rFonts w:ascii="Arial" w:cs="Arial" w:eastAsia="Arial" w:hAnsi="Arial"/>
          <w:sz w:val="17"/>
          <w:szCs w:val="17"/>
          <w:color w:val="auto"/>
        </w:rPr>
      </w:pPr>
    </w:p>
    <w:p>
      <w:pPr>
        <w:ind w:left="1240" w:right="440" w:hanging="415"/>
        <w:spacing w:after="0" w:line="286"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70" w:lineRule="exact"/>
        <w:rPr>
          <w:rFonts w:ascii="Arial" w:cs="Arial" w:eastAsia="Arial" w:hAnsi="Arial"/>
          <w:sz w:val="17"/>
          <w:szCs w:val="17"/>
          <w:color w:val="auto"/>
        </w:rPr>
      </w:pPr>
    </w:p>
    <w:p>
      <w:pPr>
        <w:ind w:left="1240" w:right="12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exclusively commercialize our drug candidates may decrease if we are unable to protect our intellectual property rights or if these rights are insufficient for our purposes.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On August 20, 2023, we entered into a framework subscription agreement (the “Framework Subscription Agreement”) with entities affiliated with Kreos Capital (“KC”) and entities affiliated with Claret European Growth Capital (“Claret”) (together, the “Secured Lenders”). Under this Framework Subscription Agreement, we may draw up to €75 million in structured debt financing (the “Kreos / Claret Financing”), in three tranches of €25 million in aggregate principal amount each.</w:t>
      </w:r>
    </w:p>
    <w:p>
      <w:pPr>
        <w:spacing w:after="0" w:line="187"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In addition, on August 20, 2023, we entered into a subscription agreement (the “Heights Subscription Agreement”) with entities affiliated with Heights Capital Management (“Heights”). Under the Heights Subscription Agreement, we may draw up to €75 million in amortizing senior convertible notes (the “Heights Convertible Notes”), in two tranches of €35 million and €40 million (the “Heights Financing”).</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additional details, see “Business—Key Collaborations and Partners—Financing Arrangements.”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and Other Information</w:t>
      </w:r>
    </w:p>
    <w:p>
      <w:pPr>
        <w:spacing w:after="0" w:line="121" w:lineRule="exact"/>
        <w:rPr>
          <w:sz w:val="20"/>
          <w:szCs w:val="20"/>
          <w:color w:val="auto"/>
        </w:rPr>
      </w:pPr>
    </w:p>
    <w:p>
      <w:pPr>
        <w:ind w:left="300" w:right="80" w:firstLine="426"/>
        <w:spacing w:after="0" w:line="287"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w:t>
      </w:r>
    </w:p>
    <w:p>
      <w:pPr>
        <w:spacing w:after="0" w:line="2" w:lineRule="exact"/>
        <w:rPr>
          <w:sz w:val="20"/>
          <w:szCs w:val="20"/>
          <w:color w:val="auto"/>
        </w:rPr>
      </w:pPr>
    </w:p>
    <w:p>
      <w:pPr>
        <w:ind w:left="300" w:right="60"/>
        <w:spacing w:after="0" w:line="253" w:lineRule="auto"/>
        <w:rPr>
          <w:sz w:val="20"/>
          <w:szCs w:val="20"/>
          <w:color w:val="auto"/>
        </w:rPr>
      </w:pPr>
      <w:r>
        <w:rPr>
          <w:rFonts w:ascii="Arial" w:cs="Arial" w:eastAsia="Arial" w:hAnsi="Arial"/>
          <w:sz w:val="18"/>
          <w:szCs w:val="18"/>
          <w:color w:val="auto"/>
        </w:rPr>
        <w:t>+33 (0) 1 53 83 08 41. We have one wholly owned subsidiary, Abivax LLC, a Delaware limited liability company, formed on March 20, 2023. Our agent for service of process in the United States is CT Corporation System, 1015 15th Street N.W., Suite 1000, Washington, D.C. 20005. We also maintain a website at www.abivax.com. The reference to our website is an inactive textual reference only, and the information contained in, or that can be accessed through, our website is not a part of this prospectus.</w:t>
      </w:r>
    </w:p>
    <w:p>
      <w:pPr>
        <w:spacing w:after="0" w:line="193"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color w:val="auto"/>
        </w:rPr>
        <w:t>We intend to make our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The SEC maintains an internet site at www.sec.gov that contains reports and other information regarding issuers that file electronically with the SEC.</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As an emerging growth company, we may take advantage of certain reduced disclosure and other requirements that are otherwise generally applicable to public companies.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provisions include:</w:t>
      </w:r>
    </w:p>
    <w:p>
      <w:pPr>
        <w:spacing w:after="0" w:line="131" w:lineRule="exact"/>
        <w:rPr>
          <w:sz w:val="20"/>
          <w:szCs w:val="20"/>
          <w:color w:val="auto"/>
        </w:rPr>
      </w:pPr>
    </w:p>
    <w:p>
      <w:pPr>
        <w:ind w:left="1240" w:hanging="415"/>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exemption from the auditor attestation requirements of Section 404 of the Sarbanes-Oxley Act of 2002 (the “Sarbanes-Oxley Act”);</w:t>
      </w:r>
    </w:p>
    <w:p>
      <w:pPr>
        <w:spacing w:after="0" w:line="153" w:lineRule="exact"/>
        <w:rPr>
          <w:rFonts w:ascii="Arial" w:cs="Arial" w:eastAsia="Arial" w:hAnsi="Arial"/>
          <w:sz w:val="16"/>
          <w:szCs w:val="16"/>
          <w:color w:val="auto"/>
        </w:rPr>
      </w:pPr>
    </w:p>
    <w:p>
      <w:pPr>
        <w:ind w:left="1240" w:right="26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global offering of which this prospectus forms a part; and</w:t>
      </w:r>
    </w:p>
    <w:p>
      <w:pPr>
        <w:spacing w:after="0" w:line="89"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4"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We may take advantage of these provisions for up to five years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78"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We may choose to take advantage of some but not all of these exemptions. For example, Section 107 of the JOBS Act provides that an emerging growth company can use the extended transition period provided in Section 7(a)(2)(B) of the Securities Act of 1933, as amended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 We have taken advantage of reduced reporting requirements in this prospectus. Accordingly, the information contained herein may be different than the information you receive from other public companies in which you hold equity securities.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Exchange Act, which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332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For additional information relating to our principal shareholders, see “Principal Shareholders.”</w:t>
      </w:r>
    </w:p>
    <w:p>
      <w:pPr>
        <w:spacing w:after="0" w:line="188" w:lineRule="exact"/>
        <w:rPr>
          <w:sz w:val="20"/>
          <w:szCs w:val="20"/>
          <w:color w:val="auto"/>
        </w:rPr>
      </w:pPr>
    </w:p>
    <w:p>
      <w:pPr>
        <w:ind w:left="300" w:right="400" w:firstLine="426"/>
        <w:spacing w:after="0" w:line="308" w:lineRule="auto"/>
        <w:rPr>
          <w:sz w:val="20"/>
          <w:szCs w:val="20"/>
          <w:color w:val="auto"/>
        </w:rPr>
      </w:pPr>
      <w:r>
        <w:rPr>
          <w:rFonts w:ascii="Arial" w:cs="Arial" w:eastAsia="Arial" w:hAnsi="Arial"/>
          <w:sz w:val="17"/>
          <w:szCs w:val="17"/>
          <w:color w:val="auto"/>
        </w:rPr>
        <w:t>We have taken advantage of certain reduced reporting and other requirements in this prospectus. Accordingly, the information contained herein may be different than the information you receive from other public companies in which you hold equity securities.</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GLOBAL OFFERING</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Global offering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20,325,500 ordinary shares offered by us, consisting of 18,699,460 ordinary shares in the form of ADSs offered in the U.S. offering and 1,626,040 ordinary shares offered in the European private placement. The closing of the U.S. offering and the European private placement will occur simultaneously. The total number of ordinary shares (including in the form of the ADSs) in the U.S. offering and the European private placement is subject to reallocation between these offerings, as permitted under the applicable laws and regulations.</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18,699,460 ADSs, each representing one ordinary share.</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European private placement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1,626,040 ordinary shares.</w:t>
      </w:r>
    </w:p>
    <w:p>
      <w:pPr>
        <w:spacing w:after="0" w:line="211"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 (including ordinary shares in the form 62,873,068 ordinary shares.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 ADSs) to be outstanding immediately after the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global offering</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w w:val="94"/>
              </w:rPr>
              <w:t>Option to purchase additional ADSs and/or ordinary</w:t>
            </w:r>
          </w:p>
        </w:tc>
        <w:tc>
          <w:tcPr>
            <w:tcW w:w="6940" w:type="dxa"/>
            <w:vAlign w:val="bottom"/>
          </w:tcPr>
          <w:p>
            <w:pPr>
              <w:ind w:left="140"/>
              <w:spacing w:after="0"/>
              <w:rPr>
                <w:sz w:val="20"/>
                <w:szCs w:val="20"/>
                <w:color w:val="auto"/>
              </w:rPr>
            </w:pPr>
            <w:r>
              <w:rPr>
                <w:rFonts w:ascii="Arial" w:cs="Arial" w:eastAsia="Arial" w:hAnsi="Arial"/>
                <w:sz w:val="18"/>
                <w:szCs w:val="18"/>
                <w:color w:val="auto"/>
                <w:w w:val="94"/>
              </w:rPr>
              <w:t>We have agreed to issue, at the option of the underwriters, within 30 days after the date of</w:t>
            </w:r>
          </w:p>
        </w:tc>
      </w:tr>
      <w:tr>
        <w:trPr>
          <w:trHeight w:val="216"/>
        </w:trPr>
        <w:tc>
          <w:tcPr>
            <w:tcW w:w="4080" w:type="dxa"/>
            <w:vAlign w:val="bottom"/>
          </w:tcPr>
          <w:p>
            <w:pPr>
              <w:ind w:left="260"/>
              <w:spacing w:after="0"/>
              <w:rPr>
                <w:sz w:val="20"/>
                <w:szCs w:val="20"/>
                <w:color w:val="auto"/>
              </w:rPr>
            </w:pPr>
            <w:r>
              <w:rPr>
                <w:rFonts w:ascii="Arial" w:cs="Arial" w:eastAsia="Arial" w:hAnsi="Arial"/>
                <w:sz w:val="18"/>
                <w:szCs w:val="18"/>
                <w:color w:val="auto"/>
              </w:rPr>
              <w:t>shares in the global offering</w:t>
            </w:r>
          </w:p>
        </w:tc>
        <w:tc>
          <w:tcPr>
            <w:tcW w:w="6940" w:type="dxa"/>
            <w:vAlign w:val="bottom"/>
          </w:tcPr>
          <w:p>
            <w:pPr>
              <w:ind w:left="140"/>
              <w:spacing w:after="0"/>
              <w:rPr>
                <w:sz w:val="20"/>
                <w:szCs w:val="20"/>
                <w:color w:val="auto"/>
              </w:rPr>
            </w:pPr>
            <w:r>
              <w:rPr>
                <w:rFonts w:ascii="Arial" w:cs="Arial" w:eastAsia="Arial" w:hAnsi="Arial"/>
                <w:sz w:val="18"/>
                <w:szCs w:val="18"/>
                <w:color w:val="auto"/>
                <w:w w:val="92"/>
              </w:rPr>
              <w:t>this prospectus, up to an aggregate of 3,048,825 additional ordinary shares (representing up</w:t>
            </w:r>
          </w:p>
        </w:tc>
      </w:tr>
      <w:tr>
        <w:trPr>
          <w:trHeight w:val="230"/>
        </w:trPr>
        <w:tc>
          <w:tcPr>
            <w:tcW w:w="408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rPr>
              <w:t>to 15% of the initial size of the global offering).</w:t>
            </w:r>
          </w:p>
        </w:tc>
      </w:tr>
      <w:tr>
        <w:trPr>
          <w:trHeight w:val="445"/>
        </w:trPr>
        <w:tc>
          <w:tcPr>
            <w:tcW w:w="4080" w:type="dxa"/>
            <w:vAlign w:val="bottom"/>
          </w:tcPr>
          <w:p>
            <w:pPr>
              <w:ind w:left="180"/>
              <w:spacing w:after="0"/>
              <w:rPr>
                <w:sz w:val="20"/>
                <w:szCs w:val="20"/>
                <w:color w:val="auto"/>
              </w:rPr>
            </w:pPr>
            <w:r>
              <w:rPr>
                <w:rFonts w:ascii="Arial" w:cs="Arial" w:eastAsia="Arial" w:hAnsi="Arial"/>
                <w:sz w:val="18"/>
                <w:szCs w:val="18"/>
                <w:color w:val="auto"/>
              </w:rPr>
              <w:t>American Depositary Shares (or ADSs)</w:t>
            </w:r>
          </w:p>
        </w:tc>
        <w:tc>
          <w:tcPr>
            <w:tcW w:w="6940" w:type="dxa"/>
            <w:vAlign w:val="bottom"/>
          </w:tcPr>
          <w:p>
            <w:pPr>
              <w:ind w:left="140"/>
              <w:spacing w:after="0"/>
              <w:rPr>
                <w:sz w:val="20"/>
                <w:szCs w:val="20"/>
                <w:color w:val="auto"/>
              </w:rPr>
            </w:pPr>
            <w:r>
              <w:rPr>
                <w:rFonts w:ascii="Arial" w:cs="Arial" w:eastAsia="Arial" w:hAnsi="Arial"/>
                <w:sz w:val="18"/>
                <w:szCs w:val="18"/>
                <w:color w:val="auto"/>
                <w:w w:val="92"/>
              </w:rPr>
              <w:t>Each ADS represents one ordinary share, par value €0.01 per share. Purchasers of ADSs in</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rPr>
              <w:t>the U.S. offering will have the rights of an ADS holder as provided in the deposit</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w w:val="93"/>
              </w:rPr>
              <w:t>agreement among us, the depositary and all holders and beneficial owners of ADSs issued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rPr>
              <w:t>thereunder. To better understand the terms of the ADSs, purchasers of ADSs should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w w:val="99"/>
              </w:rPr>
              <w:t>carefully read the section in this prospectus titled “Description of American Depositary</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w w:val="95"/>
              </w:rPr>
              <w:t>Shares.” We also encourage purchasers of ADSs to read the deposit agreement, which is</w:t>
            </w:r>
          </w:p>
        </w:tc>
      </w:tr>
      <w:tr>
        <w:trPr>
          <w:trHeight w:val="230"/>
        </w:trPr>
        <w:tc>
          <w:tcPr>
            <w:tcW w:w="408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rPr>
              <w:t>filed as an exhibit to the registration statement of which this prospectus forms a part.</w:t>
            </w:r>
          </w:p>
        </w:tc>
      </w:tr>
      <w:tr>
        <w:trPr>
          <w:trHeight w:val="459"/>
        </w:trPr>
        <w:tc>
          <w:tcPr>
            <w:tcW w:w="408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6940" w:type="dxa"/>
            <w:vAlign w:val="bottom"/>
          </w:tcPr>
          <w:p>
            <w:pPr>
              <w:ind w:left="140"/>
              <w:spacing w:after="0"/>
              <w:rPr>
                <w:sz w:val="20"/>
                <w:szCs w:val="20"/>
                <w:color w:val="auto"/>
              </w:rPr>
            </w:pPr>
            <w:r>
              <w:rPr>
                <w:rFonts w:ascii="Arial" w:cs="Arial" w:eastAsia="Arial" w:hAnsi="Arial"/>
                <w:sz w:val="18"/>
                <w:szCs w:val="18"/>
                <w:color w:val="auto"/>
              </w:rPr>
              <w:t>Citibank, N.A.</w:t>
            </w:r>
          </w:p>
        </w:tc>
      </w:tr>
      <w:tr>
        <w:trPr>
          <w:trHeight w:val="458"/>
        </w:trPr>
        <w:tc>
          <w:tcPr>
            <w:tcW w:w="40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940" w:type="dxa"/>
            <w:vAlign w:val="bottom"/>
          </w:tcPr>
          <w:p>
            <w:pPr>
              <w:ind w:left="140"/>
              <w:spacing w:after="0"/>
              <w:rPr>
                <w:sz w:val="20"/>
                <w:szCs w:val="20"/>
                <w:color w:val="auto"/>
              </w:rPr>
            </w:pPr>
            <w:r>
              <w:rPr>
                <w:rFonts w:ascii="Arial" w:cs="Arial" w:eastAsia="Arial" w:hAnsi="Arial"/>
                <w:sz w:val="18"/>
                <w:szCs w:val="18"/>
                <w:color w:val="auto"/>
                <w:w w:val="98"/>
              </w:rPr>
              <w:t>We estimate that we will receive net proceeds from the global offering of approximately</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w w:val="97"/>
              </w:rPr>
              <w:t>€201.1 million ($212.2 million) at the initial offering price of €10.9864 per ordinary share</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w w:val="97"/>
              </w:rPr>
              <w:t>($11.60 per ADS), after deducting the underwriting commissions and estimated offering</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w w:val="98"/>
              </w:rPr>
              <w:t>expenses payable by us. We intend to use the net proceeds from the global offering as</w:t>
            </w:r>
          </w:p>
        </w:tc>
      </w:tr>
      <w:tr>
        <w:trPr>
          <w:trHeight w:val="230"/>
        </w:trPr>
        <w:tc>
          <w:tcPr>
            <w:tcW w:w="408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Arial" w:cs="Arial" w:eastAsia="Arial" w:hAnsi="Arial"/>
                <w:sz w:val="18"/>
                <w:szCs w:val="18"/>
                <w:color w:val="auto"/>
              </w:rPr>
              <w:t>follows:</w:t>
            </w:r>
          </w:p>
        </w:tc>
      </w:tr>
      <w:tr>
        <w:trPr>
          <w:trHeight w:val="323"/>
        </w:trPr>
        <w:tc>
          <w:tcPr>
            <w:tcW w:w="4080" w:type="dxa"/>
            <w:vAlign w:val="bottom"/>
          </w:tcPr>
          <w:p>
            <w:pPr>
              <w:spacing w:after="0"/>
              <w:rPr>
                <w:sz w:val="24"/>
                <w:szCs w:val="24"/>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   approximately €160.0 million ($168.9 million, assuming an exchange rate of</w:t>
            </w:r>
          </w:p>
        </w:tc>
      </w:tr>
      <w:tr>
        <w:trPr>
          <w:trHeight w:val="216"/>
        </w:trPr>
        <w:tc>
          <w:tcPr>
            <w:tcW w:w="4080" w:type="dxa"/>
            <w:vAlign w:val="bottom"/>
          </w:tcPr>
          <w:p>
            <w:pPr>
              <w:spacing w:after="0"/>
              <w:rPr>
                <w:sz w:val="18"/>
                <w:szCs w:val="18"/>
                <w:color w:val="auto"/>
              </w:rPr>
            </w:pPr>
          </w:p>
        </w:tc>
        <w:tc>
          <w:tcPr>
            <w:tcW w:w="6940" w:type="dxa"/>
            <w:vAlign w:val="bottom"/>
          </w:tcPr>
          <w:p>
            <w:pPr>
              <w:ind w:left="640"/>
              <w:spacing w:after="0"/>
              <w:rPr>
                <w:sz w:val="20"/>
                <w:szCs w:val="20"/>
                <w:color w:val="auto"/>
              </w:rPr>
            </w:pPr>
            <w:r>
              <w:rPr>
                <w:rFonts w:ascii="Arial" w:cs="Arial" w:eastAsia="Arial" w:hAnsi="Arial"/>
                <w:sz w:val="18"/>
                <w:szCs w:val="18"/>
                <w:color w:val="auto"/>
                <w:w w:val="95"/>
              </w:rPr>
              <w:t>€0.9471 per U.S. dollar, the exchange rate on October 19, 2023 as reported by the</w:t>
            </w:r>
          </w:p>
        </w:tc>
      </w:tr>
      <w:tr>
        <w:trPr>
          <w:trHeight w:val="230"/>
        </w:trPr>
        <w:tc>
          <w:tcPr>
            <w:tcW w:w="4080" w:type="dxa"/>
            <w:vAlign w:val="bottom"/>
          </w:tcPr>
          <w:p>
            <w:pPr>
              <w:spacing w:after="0"/>
              <w:rPr>
                <w:sz w:val="20"/>
                <w:szCs w:val="20"/>
                <w:color w:val="auto"/>
              </w:rPr>
            </w:pPr>
          </w:p>
        </w:tc>
        <w:tc>
          <w:tcPr>
            <w:tcW w:w="6940" w:type="dxa"/>
            <w:vAlign w:val="bottom"/>
          </w:tcPr>
          <w:p>
            <w:pPr>
              <w:ind w:left="640"/>
              <w:spacing w:after="0"/>
              <w:rPr>
                <w:sz w:val="20"/>
                <w:szCs w:val="20"/>
                <w:color w:val="auto"/>
              </w:rPr>
            </w:pPr>
            <w:r>
              <w:rPr>
                <w:rFonts w:ascii="Arial" w:cs="Arial" w:eastAsia="Arial" w:hAnsi="Arial"/>
                <w:sz w:val="18"/>
                <w:szCs w:val="18"/>
                <w:color w:val="auto"/>
              </w:rPr>
              <w:t>European Central Bank) to fund the development of obefazimod for UC;</w:t>
            </w:r>
          </w:p>
        </w:tc>
      </w:tr>
      <w:tr>
        <w:trPr>
          <w:trHeight w:val="159"/>
        </w:trPr>
        <w:tc>
          <w:tcPr>
            <w:tcW w:w="408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r>
      <w:tr>
        <w:trPr>
          <w:trHeight w:val="361"/>
        </w:trPr>
        <w:tc>
          <w:tcPr>
            <w:tcW w:w="4080" w:type="dxa"/>
            <w:vAlign w:val="bottom"/>
          </w:tcPr>
          <w:p>
            <w:pPr>
              <w:spacing w:after="0"/>
              <w:rPr>
                <w:sz w:val="24"/>
                <w:szCs w:val="24"/>
                <w:color w:val="auto"/>
              </w:rPr>
            </w:pPr>
          </w:p>
        </w:tc>
        <w:tc>
          <w:tcPr>
            <w:tcW w:w="6940" w:type="dxa"/>
            <w:vAlign w:val="bottom"/>
          </w:tcPr>
          <w:p>
            <w:pPr>
              <w:ind w:left="13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spacing w:after="0"/>
        <w:tabs>
          <w:tab w:leader="none" w:pos="4820" w:val="left"/>
        </w:tabs>
        <w:rPr>
          <w:sz w:val="20"/>
          <w:szCs w:val="20"/>
          <w:color w:val="auto"/>
        </w:rPr>
      </w:pPr>
      <w:r>
        <w:rPr>
          <w:rFonts w:ascii="Arial" w:cs="Arial" w:eastAsia="Arial" w:hAnsi="Arial"/>
          <w:sz w:val="18"/>
          <w:szCs w:val="18"/>
          <w:color w:val="auto"/>
        </w:rPr>
        <w:t>•</w:t>
        <w:tab/>
        <w:t>approximately €14.0 million ($14.8 million, assuming an exchange rate of</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€0.9471 per U.S. dollar, the exchange rate on October 19, 2023 as reported by the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European Central Bank) to fund the development of obefazimod for CD; and</w:t>
      </w:r>
    </w:p>
    <w:p>
      <w:pPr>
        <w:spacing w:after="0" w:line="128" w:lineRule="exact"/>
        <w:rPr>
          <w:sz w:val="20"/>
          <w:szCs w:val="20"/>
          <w:color w:val="auto"/>
        </w:rPr>
      </w:pPr>
    </w:p>
    <w:p>
      <w:pPr>
        <w:ind w:left="4560"/>
        <w:spacing w:after="0"/>
        <w:tabs>
          <w:tab w:leader="none" w:pos="4820" w:val="left"/>
        </w:tabs>
        <w:rPr>
          <w:sz w:val="20"/>
          <w:szCs w:val="20"/>
          <w:color w:val="auto"/>
        </w:rPr>
      </w:pPr>
      <w:r>
        <w:rPr>
          <w:rFonts w:ascii="Arial" w:cs="Arial" w:eastAsia="Arial" w:hAnsi="Arial"/>
          <w:sz w:val="17"/>
          <w:szCs w:val="17"/>
          <w:color w:val="auto"/>
        </w:rPr>
        <w:t>•</w:t>
        <w:tab/>
        <w:t>the remainder for working capital and for other general corporate purposes,</w:t>
      </w:r>
    </w:p>
    <w:p>
      <w:pPr>
        <w:spacing w:after="0" w:line="35" w:lineRule="exact"/>
        <w:rPr>
          <w:sz w:val="20"/>
          <w:szCs w:val="20"/>
          <w:color w:val="auto"/>
        </w:rPr>
      </w:pPr>
    </w:p>
    <w:p>
      <w:pPr>
        <w:ind w:left="4840" w:right="20"/>
        <w:spacing w:after="0" w:line="253" w:lineRule="auto"/>
        <w:rPr>
          <w:sz w:val="20"/>
          <w:szCs w:val="20"/>
          <w:color w:val="auto"/>
        </w:rPr>
      </w:pPr>
      <w:r>
        <w:rPr>
          <w:rFonts w:ascii="Arial" w:cs="Arial" w:eastAsia="Arial" w:hAnsi="Arial"/>
          <w:sz w:val="18"/>
          <w:szCs w:val="18"/>
          <w:color w:val="auto"/>
        </w:rPr>
        <w:t>including in the continued research to identify new compounds and the payment of maturities of existing debt agreements as they become due (mostly allocated to payments under the Kreos / Claret Financing, and assuming that we will repay the Heights Financing through the issuance of new shares instead of making cash payments).</w:t>
      </w:r>
    </w:p>
    <w:p>
      <w:pPr>
        <w:spacing w:after="0" w:line="218" w:lineRule="exact"/>
        <w:rPr>
          <w:sz w:val="20"/>
          <w:szCs w:val="20"/>
          <w:color w:val="auto"/>
        </w:rPr>
      </w:pPr>
    </w:p>
    <w:p>
      <w:pPr>
        <w:jc w:val="both"/>
        <w:ind w:left="4340" w:right="180"/>
        <w:spacing w:after="0" w:line="311" w:lineRule="auto"/>
        <w:rPr>
          <w:sz w:val="20"/>
          <w:szCs w:val="20"/>
          <w:color w:val="auto"/>
        </w:rPr>
      </w:pPr>
      <w:r>
        <w:rPr>
          <w:rFonts w:ascii="Arial" w:cs="Arial" w:eastAsia="Arial" w:hAnsi="Arial"/>
          <w:sz w:val="16"/>
          <w:szCs w:val="16"/>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7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0840"/>
          </w:cols>
          <w:pgMar w:left="320" w:top="459" w:right="7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do not expect to pay any dividends on the ordinary shares or ADSs in the foreseeable future.</w:t>
      </w:r>
    </w:p>
    <w:p>
      <w:pPr>
        <w:spacing w:after="0" w:line="197" w:lineRule="exact"/>
        <w:rPr>
          <w:sz w:val="20"/>
          <w:szCs w:val="20"/>
          <w:color w:val="auto"/>
        </w:rPr>
      </w:pPr>
    </w:p>
    <w:p>
      <w:pPr>
        <w:sectPr>
          <w:pgSz w:w="11900" w:h="16838" w:orient="portrait"/>
          <w:cols w:equalWidth="0" w:num="2">
            <w:col w:w="3620" w:space="720"/>
            <w:col w:w="6500"/>
          </w:cols>
          <w:pgMar w:left="320" w:top="459" w:right="7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the ordinary shares or ADSs.</w:t>
      </w:r>
    </w:p>
    <w:p>
      <w:pPr>
        <w:spacing w:after="0" w:line="173" w:lineRule="exact"/>
        <w:rPr>
          <w:sz w:val="20"/>
          <w:szCs w:val="20"/>
          <w:color w:val="auto"/>
        </w:rPr>
      </w:pPr>
    </w:p>
    <w:p>
      <w:pPr>
        <w:sectPr>
          <w:pgSz w:w="11900" w:h="16838" w:orient="portrait"/>
          <w:cols w:equalWidth="0" w:num="2">
            <w:col w:w="3620" w:space="720"/>
            <w:col w:w="6500"/>
          </w:cols>
          <w:pgMar w:left="320" w:top="459" w:right="7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trading symbol for our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“ABVX”</w:t>
      </w:r>
    </w:p>
    <w:p>
      <w:pPr>
        <w:spacing w:after="0" w:line="200" w:lineRule="exact"/>
        <w:rPr>
          <w:sz w:val="20"/>
          <w:szCs w:val="20"/>
          <w:color w:val="auto"/>
        </w:rPr>
      </w:pPr>
    </w:p>
    <w:p>
      <w:pPr>
        <w:sectPr>
          <w:pgSz w:w="11900" w:h="16838" w:orient="portrait"/>
          <w:cols w:equalWidth="0" w:num="2">
            <w:col w:w="4080" w:space="260"/>
            <w:col w:w="6500"/>
          </w:cols>
          <w:pgMar w:left="320" w:top="459" w:right="73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Euronext Paris trading symbol for our ordinary shares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“ABVX”</w:t>
      </w:r>
    </w:p>
    <w:p>
      <w:pPr>
        <w:spacing w:after="0" w:line="200" w:lineRule="exact"/>
        <w:rPr>
          <w:sz w:val="20"/>
          <w:szCs w:val="20"/>
          <w:color w:val="auto"/>
        </w:rPr>
      </w:pPr>
    </w:p>
    <w:p>
      <w:pPr>
        <w:sectPr>
          <w:pgSz w:w="11900" w:h="16838" w:orient="portrait"/>
          <w:cols w:equalWidth="0" w:num="2">
            <w:col w:w="4180" w:space="160"/>
            <w:col w:w="6500"/>
          </w:cols>
          <w:pgMar w:left="320" w:top="459" w:right="739" w:bottom="1440" w:gutter="0" w:footer="0" w:header="0"/>
          <w:type w:val="continuous"/>
        </w:sectPr>
      </w:pPr>
    </w:p>
    <w:p>
      <w:pPr>
        <w:spacing w:after="0" w:line="39"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Unless otherwise indicated, the number of ordinary shares (including ordinary shares in the form of ADSs) that will be outstanding after the global offering is based on 42,547,568 ordinary shares outstanding as of June 30, 2023 and excludes:</w:t>
      </w:r>
    </w:p>
    <w:p>
      <w:pPr>
        <w:spacing w:after="0" w:line="76" w:lineRule="exact"/>
        <w:rPr>
          <w:sz w:val="20"/>
          <w:szCs w:val="20"/>
          <w:color w:val="auto"/>
        </w:rPr>
      </w:pPr>
    </w:p>
    <w:p>
      <w:pPr>
        <w:jc w:val="both"/>
        <w:ind w:left="1240" w:right="140" w:hanging="415"/>
        <w:spacing w:after="0" w:line="311"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308,984 ordinary shares issuable upon the exercise of share warrants (BSA) outstanding as of June 30, 2023 at a weighted-average exercise price of €7.57 per ordinary share (or $8.27 based on the exchange rate in effect as of June 30, 2023), which figure includes 32,800 ordinary shares that were issued pursuant to exercises of share warrants (BSA) subsequent to June 30, 2023;</w:t>
      </w:r>
    </w:p>
    <w:p>
      <w:pPr>
        <w:spacing w:after="0" w:line="54" w:lineRule="exact"/>
        <w:rPr>
          <w:rFonts w:ascii="Arial" w:cs="Arial" w:eastAsia="Arial" w:hAnsi="Arial"/>
          <w:sz w:val="16"/>
          <w:szCs w:val="16"/>
          <w:color w:val="auto"/>
        </w:rPr>
      </w:pPr>
    </w:p>
    <w:p>
      <w:pPr>
        <w:ind w:left="1240" w:right="20" w:hanging="415"/>
        <w:spacing w:after="0" w:line="342"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385,409 ordinary shares issuable upon the exercise of founder’s share warrants (BCE) outstanding as of June 30, 2023 at a weighted-average exercise price of €9.64 per ordinary share (or $10.53 based on the exchange rate in effect as of June 30, 2023);</w:t>
      </w:r>
    </w:p>
    <w:p>
      <w:pPr>
        <w:spacing w:after="0" w:line="29" w:lineRule="exact"/>
        <w:rPr>
          <w:rFonts w:ascii="Arial" w:cs="Arial" w:eastAsia="Arial" w:hAnsi="Arial"/>
          <w:sz w:val="16"/>
          <w:szCs w:val="16"/>
          <w:color w:val="auto"/>
        </w:rPr>
      </w:pPr>
    </w:p>
    <w:p>
      <w:pPr>
        <w:ind w:left="1240" w:right="160" w:hanging="415"/>
        <w:spacing w:after="0" w:line="296"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4,413,543 ordinary shares reserved for future issuance as of June 30, 2023 under our share-based compensation plans and other delegations of authority from our shareholders, which include (i) 1,482,796 ordinary shares issuable upon the vesting of free shares (AGA) allocated to certain of our officers and employees in July 2023, of which 106,369 free shares (AGA) are subject to vesting conditions that include the successful completion of this offering with at least $100.0 million in gross proceeds, and (ii) 985,750 ordinary shares issuable upon the vesting of free shares (AGA) allocated to certain of our officers and</w:t>
      </w: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320" w:top="459" w:right="7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10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0101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9" w:lineRule="auto"/>
        <w:rPr>
          <w:sz w:val="20"/>
          <w:szCs w:val="20"/>
          <w:color w:val="auto"/>
        </w:rPr>
      </w:pPr>
      <w:r>
        <w:rPr>
          <w:rFonts w:ascii="Arial" w:cs="Arial" w:eastAsia="Arial" w:hAnsi="Arial"/>
          <w:sz w:val="17"/>
          <w:szCs w:val="17"/>
          <w:color w:val="auto"/>
        </w:rPr>
        <w:t>employees in September 2023, of which 254,250 free shares (AGA) are subject to vesting conditions that include the successful completion of this offering with at least $200.0 million in gross proceeds. For additional details regarding the vesting conditions of the foregoing free shares (AGA), please see the section of this prospectus titled “Certain Relationships and Related Person Transactions— Arrangements with our Directors and Executive Officers—Free Shares (</w:t>
      </w:r>
      <w:r>
        <w:rPr>
          <w:rFonts w:ascii="Arial" w:cs="Arial" w:eastAsia="Arial" w:hAnsi="Arial"/>
          <w:sz w:val="17"/>
          <w:szCs w:val="17"/>
          <w:i w:val="1"/>
          <w:iCs w:val="1"/>
          <w:color w:val="auto"/>
        </w:rPr>
        <w:t>attributions gratuites d’actions</w:t>
      </w:r>
      <w:r>
        <w:rPr>
          <w:rFonts w:ascii="Arial" w:cs="Arial" w:eastAsia="Arial" w:hAnsi="Arial"/>
          <w:sz w:val="17"/>
          <w:szCs w:val="17"/>
          <w:color w:val="auto"/>
        </w:rPr>
        <w:t>)”;</w:t>
      </w:r>
    </w:p>
    <w:p>
      <w:pPr>
        <w:spacing w:after="0" w:line="77" w:lineRule="exact"/>
        <w:rPr>
          <w:sz w:val="20"/>
          <w:szCs w:val="20"/>
          <w:color w:val="auto"/>
        </w:rPr>
      </w:pPr>
    </w:p>
    <w:p>
      <w:pPr>
        <w:ind w:left="1240" w:right="640" w:hanging="415"/>
        <w:spacing w:after="0" w:line="311"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1,178,084 ordinary shares issuable upon the conversion of the convertible bonds with warrants attached (the “Kreos / Claret OCABSA”) issued to KC and Claret in connection with the drawdown of the first tranche of the Kreos / Claret Financing, at a conversion price of €21.22 per ordinary share (or $23.17 based on the exchange rate in effect as of June 30, 2023);</w:t>
      </w:r>
    </w:p>
    <w:p>
      <w:pPr>
        <w:spacing w:after="0" w:line="54" w:lineRule="exact"/>
        <w:rPr>
          <w:rFonts w:ascii="Arial" w:cs="Arial" w:eastAsia="Arial" w:hAnsi="Arial"/>
          <w:sz w:val="16"/>
          <w:szCs w:val="16"/>
          <w:color w:val="auto"/>
        </w:rPr>
      </w:pPr>
    </w:p>
    <w:p>
      <w:pPr>
        <w:jc w:val="both"/>
        <w:ind w:left="1240" w:right="4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214,198 ordinary shares issuable upon the exercise of share warrants (BSA) issued to KC and Claret in connection with the drawdown of the first tranche of the Kreos / Claret Financing, at an exercise price of €18.67 per ordinary share (or $20.39 based on the exchange rate in effect as of June 30, 2023);</w:t>
      </w:r>
    </w:p>
    <w:p>
      <w:pPr>
        <w:spacing w:after="0" w:line="89" w:lineRule="exact"/>
        <w:rPr>
          <w:rFonts w:ascii="Arial" w:cs="Arial" w:eastAsia="Arial" w:hAnsi="Arial"/>
          <w:sz w:val="18"/>
          <w:szCs w:val="18"/>
          <w:color w:val="auto"/>
        </w:rPr>
      </w:pPr>
    </w:p>
    <w:p>
      <w:pPr>
        <w:ind w:left="1240" w:right="120" w:hanging="415"/>
        <w:spacing w:after="0" w:line="259"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279,273 ordinary shares issuable upon the exercise of share warrants (BSA) that could be issued to KC and Claret in connection with the future drawdown of the second and third tranches of the Kreos / Claret Financing, assuming an exercise price of €14.32 per ordinary share (or $15.64 based on the exchange rate in effect as of June 30, 2023), which represents a 10% premium to the 15-day VWAP price of our ordinary shares as of the date of this prospectus;</w:t>
      </w:r>
    </w:p>
    <w:p>
      <w:pPr>
        <w:spacing w:after="0" w:line="92" w:lineRule="exact"/>
        <w:rPr>
          <w:rFonts w:ascii="Arial" w:cs="Arial" w:eastAsia="Arial" w:hAnsi="Arial"/>
          <w:sz w:val="18"/>
          <w:szCs w:val="18"/>
          <w:color w:val="auto"/>
        </w:rPr>
      </w:pPr>
    </w:p>
    <w:p>
      <w:pPr>
        <w:ind w:left="1240" w:right="40" w:hanging="415"/>
        <w:spacing w:after="0" w:line="25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1,472,606 ordinary shares issuable upon the conversion of the Heights Convertible Notes in connection with the drawdown of the first tranche of the Heights Financing, at a conversion price of €23.77 per ordinary share (or $25.96 based on the exchange rate in effect as of June 30, 2023) and up to 2,830,201 ordinary shares issuable in the event of repayment in ordinary shares of the principal and interest of the Heights Convertible Notes, assuming a price of €14.43 per ordinary share (or $15.76 based on the exchange rate in effect as of June 30, 2023) retained for the repayment; and</w:t>
      </w:r>
    </w:p>
    <w:p>
      <w:pPr>
        <w:spacing w:after="0" w:line="93" w:lineRule="exact"/>
        <w:rPr>
          <w:rFonts w:ascii="Arial" w:cs="Arial" w:eastAsia="Arial" w:hAnsi="Arial"/>
          <w:sz w:val="18"/>
          <w:szCs w:val="18"/>
          <w:color w:val="auto"/>
        </w:rPr>
      </w:pPr>
    </w:p>
    <w:p>
      <w:pPr>
        <w:ind w:left="1240" w:right="20" w:hanging="415"/>
        <w:spacing w:after="0" w:line="291"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2,363,079 ordinary shares issuable upon the conversion of the Heights Convertible Notes that could be issued to Heights in connection with the future drawdown of the second tranche of the Heights Financing, assuming a conversion price of €16.93 per ordinary share (or $18.48 based on the exchange rate in effect as of June 30, 2023), which represents a 30% premium to the 15-day VWAP price of our ordinary shares as of the date of this prospectus, and up to 4,125,743 ordinary shares issuable in the event of repayment in ordinary shares of the principal and interest of the second tranche of the Heights Convertible Notes, assuming a price of €11.07 per ordinary share (or $12.09 based on the exchange rate in effect as of June 30, 2023) retained for the repayment, which represents a 15% discount to the 15-day VWAP price of our ordinary shares as of the date of this prospectus.</w:t>
      </w:r>
    </w:p>
    <w:p>
      <w:pPr>
        <w:spacing w:after="0" w:line="166"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For additional details relating to the Kreos / Claret Financing and the Heights Financing, see “Business—Key Collaborations and Partners— Financing Arrangements.” References to outstanding ordinary shares included in this prospectus include 11,487 treasury shares issued by us as of June 30, 2023. Except as otherwise noted, the information in this prospectus assumes no exercise by the underwriters of their option to purchase 3,048,825 additional ADS and/or ordinary shares in the global offering and no exercise of share warrants (BSA), founder’s share warrants (BCE) or vesting of free shares (AGA) or other equity awards subsequent to June 30, 2023.</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The following tables summarize our historical financial data. We derived the summary statement of income (loss) for the years ended December 31, 2022 and 2021 from our audited financial statements included elsewhere in this prospectus. Our audited financial statements have been prepared in accordance with International Financial Reporting Standards (“IFRS”), as issued by the International Accounting Standards Board (“IASB”) and endorsed by the European Union (the “EU”).</w:t>
      </w:r>
    </w:p>
    <w:p>
      <w:pPr>
        <w:spacing w:after="0" w:line="187" w:lineRule="exact"/>
        <w:rPr>
          <w:sz w:val="20"/>
          <w:szCs w:val="20"/>
          <w:color w:val="auto"/>
        </w:rPr>
      </w:pPr>
    </w:p>
    <w:p>
      <w:pPr>
        <w:ind w:left="300" w:right="300" w:firstLine="426"/>
        <w:spacing w:after="0" w:line="259" w:lineRule="auto"/>
        <w:rPr>
          <w:sz w:val="20"/>
          <w:szCs w:val="20"/>
          <w:color w:val="auto"/>
        </w:rPr>
      </w:pPr>
      <w:r>
        <w:rPr>
          <w:rFonts w:ascii="Arial" w:cs="Arial" w:eastAsia="Arial" w:hAnsi="Arial"/>
          <w:sz w:val="18"/>
          <w:szCs w:val="18"/>
          <w:color w:val="auto"/>
        </w:rPr>
        <w:t>The summary interim condensed consolidated statements of income (loss) for the six months ended June 30, 2023 and 2022 and summary interim condensed consolidated financial position data as of June 30, 2023 have been derived from our unaudited interim condensed consolidated financial statements included elsewhere in this prospectus, prepared in accordance with IAS 34, Interim Financial Reporting, the standard of IFRS applicable to interim financial statements.</w:t>
      </w:r>
    </w:p>
    <w:p>
      <w:pPr>
        <w:spacing w:after="0" w:line="187" w:lineRule="exact"/>
        <w:rPr>
          <w:sz w:val="20"/>
          <w:szCs w:val="20"/>
          <w:color w:val="auto"/>
        </w:rPr>
      </w:pPr>
    </w:p>
    <w:p>
      <w:pPr>
        <w:ind w:left="300" w:right="240" w:firstLine="426"/>
        <w:spacing w:after="0" w:line="279" w:lineRule="auto"/>
        <w:rPr>
          <w:sz w:val="20"/>
          <w:szCs w:val="20"/>
          <w:color w:val="auto"/>
        </w:rPr>
      </w:pPr>
      <w:r>
        <w:rPr>
          <w:rFonts w:ascii="Arial" w:cs="Arial" w:eastAsia="Arial" w:hAnsi="Arial"/>
          <w:sz w:val="17"/>
          <w:szCs w:val="17"/>
          <w:color w:val="auto"/>
        </w:rPr>
        <w:t>The following summary financial data for the periods as of the dates indicated are qualified by reference to and should be read in conjunction with our audited financial statements and related notes and our unaudited interim condensed consolidated financial statements and related notes included elsewhere in this prospectus, as well as the sections entitled “Presentation of Financial Information” and “Management’s Discussion and Analysis of Financial Condition and Results of Operations” included elsewhere in this prospectus.</w:t>
      </w:r>
    </w:p>
    <w:p>
      <w:pPr>
        <w:spacing w:after="0" w:line="17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Our historical results for any prior period do not necessarily indicate our expected results for any future period, and our interim results are not necessarily indicative of the results that may be expected for a full fiscal year.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Statement of Income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 of euros)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740"/>
              <w:spacing w:after="0"/>
              <w:rPr>
                <w:sz w:val="20"/>
                <w:szCs w:val="20"/>
                <w:color w:val="auto"/>
              </w:rPr>
            </w:pPr>
            <w:r>
              <w:rPr>
                <w:rFonts w:ascii="Arial" w:cs="Arial" w:eastAsia="Arial" w:hAnsi="Arial"/>
                <w:sz w:val="14"/>
                <w:szCs w:val="14"/>
                <w:b w:val="1"/>
                <w:bCs w:val="1"/>
                <w:color w:val="auto"/>
                <w:w w:val="92"/>
              </w:rPr>
              <w:t>Year ended</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ind w:left="3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operating income</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(47,781)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(48,295)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8"/>
              <w:spacing w:after="0"/>
              <w:rPr>
                <w:sz w:val="20"/>
                <w:szCs w:val="20"/>
                <w:color w:val="auto"/>
              </w:rPr>
            </w:pPr>
            <w:r>
              <w:rPr>
                <w:rFonts w:ascii="Arial" w:cs="Arial" w:eastAsia="Arial" w:hAnsi="Arial"/>
                <w:sz w:val="18"/>
                <w:szCs w:val="18"/>
                <w:color w:val="auto"/>
              </w:rPr>
              <w:t>(15,107)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Goodwill impairment loss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(13,632)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8"/>
              <w:spacing w:after="0"/>
              <w:rPr>
                <w:sz w:val="20"/>
                <w:szCs w:val="20"/>
                <w:color w:val="auto"/>
              </w:rPr>
            </w:pPr>
            <w:r>
              <w:rPr>
                <w:rFonts w:ascii="Arial" w:cs="Arial" w:eastAsia="Arial" w:hAnsi="Arial"/>
                <w:sz w:val="18"/>
                <w:szCs w:val="18"/>
                <w:color w:val="auto"/>
              </w:rPr>
              <w:t>(10,986)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(53,361)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(28,317)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loss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(41,400)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(64,836)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(26,033)</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(2,346)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Financial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Income tax</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(42,452)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(60,740)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(21,183)</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(51,953)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Loss per share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outstanding shares used for</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computing basic/diluted loss per share</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15,455,991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19,092,442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6"/>
              </w:rPr>
              <w:t>16,759,215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35,903,802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Basic / diluted loss per share (€/share)</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60" w:type="dxa"/>
            <w:vAlign w:val="bottom"/>
            <w:gridSpan w:val="3"/>
          </w:tcPr>
          <w:p>
            <w:pPr>
              <w:jc w:val="right"/>
              <w:ind w:right="593"/>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87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32873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Condensed Consolidated Statement of Financial Position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240" w:type="dxa"/>
            <w:vAlign w:val="bottom"/>
          </w:tcPr>
          <w:p>
            <w:pPr>
              <w:spacing w:after="0"/>
              <w:rPr>
                <w:sz w:val="20"/>
                <w:szCs w:val="20"/>
                <w:color w:val="auto"/>
              </w:rPr>
            </w:pPr>
            <w:r>
              <w:rPr>
                <w:rFonts w:ascii="Arial" w:cs="Arial" w:eastAsia="Arial" w:hAnsi="Arial"/>
                <w:sz w:val="14"/>
                <w:szCs w:val="14"/>
                <w:b w:val="1"/>
                <w:bCs w:val="1"/>
                <w:color w:val="auto"/>
              </w:rPr>
              <w:t>(In thousands of euros)</w:t>
            </w:r>
          </w:p>
        </w:tc>
        <w:tc>
          <w:tcPr>
            <w:tcW w:w="2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0"/>
              </w:rPr>
              <w:t>As of June 30, 2023</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0"/>
                <w:szCs w:val="10"/>
                <w:color w:val="auto"/>
              </w:rPr>
            </w:pPr>
          </w:p>
        </w:tc>
        <w:tc>
          <w:tcPr>
            <w:tcW w:w="10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Pro</w:t>
            </w:r>
          </w:p>
        </w:tc>
        <w:tc>
          <w:tcPr>
            <w:tcW w:w="88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Forma</w:t>
            </w:r>
            <w:r>
              <w:rPr>
                <w:rFonts w:ascii="Arial" w:cs="Arial" w:eastAsia="Arial" w:hAnsi="Arial"/>
                <w:sz w:val="10"/>
                <w:szCs w:val="10"/>
                <w:b w:val="1"/>
                <w:bCs w:val="1"/>
                <w:color w:val="auto"/>
                <w:w w:val="98"/>
              </w:rPr>
              <w:t>(1)</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0"/>
                <w:szCs w:val="10"/>
                <w:b w:val="1"/>
                <w:bCs w:val="1"/>
                <w:color w:val="auto"/>
                <w:w w:val="91"/>
              </w:rPr>
              <w:t>(2)</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€ 114,381</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€138,676</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341,457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171,081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197,427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83,454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44,381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75,117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38,856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38,856</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171,081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197,427</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398,501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60" w:hanging="422"/>
        <w:spacing w:after="0" w:line="284"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Gives effect to the (i) issuance of the Kreos / Claret OCABSA in the amount of €25.0 million in gross proceeds, (ii) issuance of the Heights Convertible Notes (based on a valuation as of August 24, 2023) in the amount of €35.0 million in gross proceeds and (iii) repayments of all outstanding amounts that remained due under the First KC Agreement, the Second KC Agreement and the OCEANE bonds (each as defined below) in the amount of €34.2 million (outstanding as of June 30, 2023). For additional details, see the section of this prospectus titled “Capitalization.” The Kreos / Claret Financing and the Heights Convertible Notes consist of elements that need to be fair valued under IFRS. We have performed a preliminary valuation to estimate the fair value for the purposes of preparing the pro forma as adjusted figures in this table and therefore such figures may be subject to further adjustments. See “Management’s Discussion and Analysis of Financial Condition and Results of Operations—Liquidity and Capital Resources—Indebtedness” for additional information.</w:t>
      </w:r>
    </w:p>
    <w:p>
      <w:pPr>
        <w:ind w:left="720" w:right="360" w:hanging="422"/>
        <w:spacing w:after="0" w:line="255"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Gives further effect to the issuance and sale of 20,325,500 ordinary shares (including ordinary shares in the form of ADSs) in the global offering, at the initial offering price of €10.9864 per ordinary share ($11.60 per ADS), after deducting the underwriting commissions and estimated offering expenses payable by us.</w:t>
      </w:r>
    </w:p>
    <w:p>
      <w:pPr>
        <w:spacing w:after="0" w:line="3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An investment in our ordinary shares (including ordinary shares in the form of ADSs) involves a high degree of risk. You should carefully consider the risks and uncertainties described below, together with all of the information contained in this prospectus, including our financial statements and the related notes, before making an investment decision regarding the ordinary shares (including ordinary shares in the form of ADSs). If any of the following risks are realized, our business, financial condition, results of operations or prospects could be materially and adversely affected. In that event, the market price of our securities could decline, and you could lose part or all of your investment. The risks discussed below also include forward-looking statements, and our actual results may differ substantially from those discussed in these forward-looking statements. See “Cautionary Note Regarding Forward-Looking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are a clinical-stage company with a limited operating history and no approved products and no historical product revenues, which makes it difficult to assess our future prospects and financial results.</w:t>
      </w:r>
    </w:p>
    <w:p>
      <w:pPr>
        <w:spacing w:after="0" w:line="62"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 xml:space="preserve">We are a clinical-stage biopharmaceutical company with a limited operating history upon which you can evaluate our business and prospects. 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to date, we have focused primarily on organizing and staffing our company, business planning, raising capital, identifying, acquiring and in-licensing our drug candidates, establishing our intellectual property portfolio, conducting research, preclinical studies and clinical trials, establishing arrangements with third parties for the manufacture of our drug candidates and related raw materials and providing general and administrative support for these operations. Investment in product development in the healthcare industry, including of biopharmaceutical products, is highly speculative because it entails substantial upfront capital expenditures and significant risk that any potential drug candidate will fail to demonstrate adequate effect or an acceptable safety profile, gain regulatory approval or become commercially viable. As a result, our ability to reduce our losses and reach consistent profitability from product sales is unproven, and we may never sustain profitability. We have no products approved for commercial sale and have not generated any revenue from product sales to date.</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ability to generate revenue from product sales and achieve and maintain profitability depends on our ability, alone or with any future collaborators, to successfully complete the development of, and obtain the regulatory approvals necessary to commercialize, our lead drug candidate, obefazimod. Our prospects, including our ability to finance our operations and generate revenue from product sales, therefore will depend substantially on the development and commercialization of obefazimod, as other programs in our preclinical portfolio are still in earlier stages of development. Since our inception in 2013, the majority of our operating income has been derived from our reliance on research collaborations unrelated to obefazimod, and we do not anticipate generating revenue from product sales for the next several years, if ever. Our ability to generate revenue from product sales depends heavily on our or any future collaborators’ success in:</w:t>
      </w:r>
    </w:p>
    <w:p>
      <w:pPr>
        <w:spacing w:after="0" w:line="100"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and successful completion of clinical development of obefazimod, our lead drug candidate;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regulatory and marketing approval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and commercializing any drug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coverage and adequate reimbursement from government and third-party payors for our current or any future drug candidates, if approved, both in the United States and internationally, and reaching acceptable agreements with foreign government and third-party payors on pricing terms;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developing, validating and maintaining a commercially viable, sustainable, scalable, reproducible and transferable manufacturing process for obefazimod or any future drug candidates that are compliant with current good manufacturing practices;</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amount and quality of drugs and services to support our planned clinical development, as well as the market demand for obefazimod and any future drug candidates, if approved;</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 acceptance, if and when approved, of obefazimod or any future drug candidates as a viable treatment option by physicians, patients, third-party payors and others in the medical community;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addressing any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pursuant to such arrangements;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considerable losses historically, which we anticipate will continue and may increase in the future.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Since our inception, we have incurred net losses. For the six-month periods ended June 30, 2023 and 2022 and the years ended December 31, 2022 and 2021, we reported net losses of €52.0 million, €21.2 million, €60.7 million and €42.5 million, respectively. As of June 30, 2023, we carried forward accumulated tax losses of €355.4 million.</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Even if we obtain regulatory approval to market a drug candidate, our future revenues will depend upon the size of any markets in which our drug candidates have received approval and our ability to achieve sufficient market acceptance, reimbursement from third-party payors and adequate market share for our drug candidates in those markets. There can be no assurance that we will ever earn any revenues or revenues sufficient to offset past, current and future losses or achieve profitability, which would impair our ability to sustain our operations. Moreover, even if we achieve profitability, such profitability may not be sustainable. Any inability to generate sustained profits could have a material adverse effect on our business, prospects, financial condition, cash flows and results of operations.</w:t>
      </w:r>
    </w:p>
    <w:p>
      <w:pPr>
        <w:spacing w:after="0" w:line="19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do not anticipate achieving profitability in the future unless we obtain the regulatory approvals necessary to commercialize obefazimod and any additional drug candidates that we may pursue in the future. We anticipate that our expenses will increase substantially if, and as, we:</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successfully complete clinical development of obefazimod, our clinical-stage drug candidate;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and maintain regulatory and marketing approvals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the scope of our current clinical trials for our drug candidates;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begin new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scale and validate our commercial manufacturing capabilities for our drug candidates;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drugs for which we may obtain marketing approval for which we have not entered into a collaboration with a third-party;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discover, identify and validate additional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milestone, royalty or other payments under in-license or collaboration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maintain, protect, enforce and expand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new and retain existing skilled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U.S. public company.</w:t>
      </w:r>
    </w:p>
    <w:p>
      <w:pPr>
        <w:spacing w:after="0" w:line="225"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In addition, following the issuance of royalty certificates in September 2022 and other royalties that may become payable under our royalty agreements, the payment of royalties in the event of commercialization of obefazimod will result in a decrease in cash flows generated by sales of the product, which could have an unfavorable impact on our financial position, particularly at the beginning of the commercialization phase.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net losses we incur may fluctuate significantly from quarter-to-quarter and year-to-year, such that a period-to-period comparison of our results of operations may not be a good indication of our future performance. In any particular period or periods, our operating results could be below the expectations of securities analysts or investors, which could cause the price of the ordinary shares (which may be in the form of ADSs) to decline. An increase in operational losses would have a material adverse effect on our business, financial position, income, growth and outlook.</w:t>
      </w:r>
    </w:p>
    <w:p>
      <w:pPr>
        <w:spacing w:after="0" w:line="27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Even if we consummate the offering, we will require substantial additional funding, which may not be available on acceptable terms or at all, and failure to obtain this necessary capital may force us to delay, limit or terminate our product development efforts or other operations.</w:t>
      </w:r>
    </w:p>
    <w:p>
      <w:pPr>
        <w:spacing w:after="0" w:line="1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operations have consumed substantial amounts of cash since inception. We are currently advancing obefazimod through clinical development and conducting preclinical studies with respect to other programs. Developing drug candidates is expensive, lengthy and risky, and we expect our research and development expenses to increase substantially in connection with our ongoing activities, particularly as we seek to advance obefazimod toward commercialization. If our clinical trials are successful and we obtain regulatory approval for drug candidates that we develop, we will incur commercialization expenses before these drug candidates are marketed and sold.</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of June 30, 2023, our cash and cash equivalents were €114.4 million. We believe that based on our current clinical plan and on our anticipated net proceeds from this offering, together with (a) our existing cash and cash equivalents of €114.4 million as of June 30, 2023, (b) the net proceeds of the August 2023 drawdown of the first tranches of the Kreos / Claret Financing and the Heights Financing, collectively amounting to €27.2 million (net of repayments of all outstanding amounts that remained due under the First KC Agreement, the Second KC Agreement and the OCEANE bonds), (c) the anticipated net proceeds from the drawdown of the second tranche of the Kreos / Claret Financing, amounting to €25 million (which is a portion of the total available drawdown of €65 million from the Kreos / Claret Financing and the Heights Financing) and (d) the expected Research Tax Credit (CIR) reimbursements would enable us to fund our operations through the fourth quarter of 2025. Under these assumptions and based on our current clinical plan, we would have sufficient funds to finance our operations through (i) the announcement of our top-line data from the Phase 3 ABTECT-1 and ABTECT-2 induction trials for UC and (ii) the announcement of our top-line data from the Phase 2a induction trial for CD.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we further draw down on the third tranche of the Kreos / Claret Financing, amounting to €25 million and the second tranche of the Heights Financing amounting to €40 million, we expect to have sufficient funds to finance our operations through the first quarter of 2026. Under these assumptions and based on our current clinical plan, we would have sufficient funds to finance our operations through the announcement of our top-line data from the Phase 3 ABTECT maintenance trial for UC. For additional details relating to the Kreos / Claret Financing and the Heights Financing, see “Business—Key Collaborations and Partners—Financing Arrangements.”</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takes into account our assumption that R&amp;D expenditure will be substantially increased in 2023 driven by the progression of the Phase 3 clinical trials of obefazimod, which started enrollment of patients with moderately to severely active UC in October 2022. We have based this estimate on assumptions that may prove to be wrong, and we could utilize our available capital resources sooner than we expect. For instance, there is no guarantee that we would be able to meet our conditions to be able to draw down on the remaining tranches of the Kreos / Claret Financing and the second tranche of the Heights Financing. We anticipate that we will require additional capital as we seek regulatory approval of our drug candidates. We intend to assess and plan for any such funding requirements and aim to regularly update the market on our financing need projections.</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Until we can generate sufficient product or royalty revenue to finance our cash requirements, which we may never do, we may seek additional financing in the form of public or private equity or debt financings, government or other third-party funding, marketing and distribution arrangements and collaborations, strategic alliances and licensing arrangements or a combination of these sources.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amount and timing of our funding needs will depend on factors that are largely outside of our control, such as:</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and slower-than-expected progress on our research and development programs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related to preparing, filing, enforcing and maintaining our patents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of the research required and time needed to sign licensing agreements with industrial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needed to respond to technological and market developments;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and longer-than-expected lead times obtaining regulatory authorizations, including time for preparing application dossiers for the relevant authorities;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opportunities for developing new products or acquiring technologies, products or companies.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if approved, commercialize our drug candidates. In addition, we cannot guarantee that future financing will be available in sufficient amounts or on terms acceptable to us, if at all. Under French law, our share capital may be increased only with shareholders’ approval at an extraordinary general shareholders’ meeting on the basis of a report from the board of directors. In addition, the French Commercial Code imposes certain limitations on our ability to price certain offerings of our share capital without preferential subscription rights (</w:t>
      </w:r>
      <w:r>
        <w:rPr>
          <w:rFonts w:ascii="Arial" w:cs="Arial" w:eastAsia="Arial" w:hAnsi="Arial"/>
          <w:sz w:val="17"/>
          <w:szCs w:val="17"/>
          <w:i w:val="1"/>
          <w:iCs w:val="1"/>
          <w:color w:val="auto"/>
        </w:rPr>
        <w:t>droit préférentiel de souscription</w:t>
      </w:r>
      <w:r>
        <w:rPr>
          <w:rFonts w:ascii="Arial" w:cs="Arial" w:eastAsia="Arial" w:hAnsi="Arial"/>
          <w:sz w:val="17"/>
          <w:szCs w:val="17"/>
          <w:color w:val="auto"/>
        </w:rPr>
        <w:t>), which limitation may prevent us from successfully completing any such offering. See “Description of Share Capital—Rights, Preferences and Restrictions Attaching to Ordinary Shares (Articles 7, 11, 30, 31 and 32 of the By-Laws).” To the extent that we raise additional capital, the terms of any financing may adversely affect the holdings or the rights of our shareholders and the issuance of additional securities, whether equity or debt, by us, or the possibility of such issuance, may cause the market price of our ordinary shares (which may be in the form of ADSs) to decline. The sale of additional equity or convertible securities will dilute our shareholders ownership interest. The incurrence of indebtedness would result in increased fixed payment obligations and we may be required to agree to certain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restrictive covenants, such as limitations on our ability to incur additional debt, limitations on our ability to acquire, sell or license intellectual property rights and other operating restrictions that could adversely impact our ability to conduct our business. To the extent that we raise additional funds through arrangements with research and development partners or otherwise, we may be required to relinquish some of our technologies, drug candidates or revenue streams, license our technologies or drug candidates on unfavorable terms, or otherwise agree to terms unfavorable for us. If we are unable to obtain adequate financing, we may be required to delay, reduce or eliminate the number or scope of our projects and drug candidates (including our preclinical studies and clinical trial programs). In order to obtain financing, we may be required to relinquish rights to some of our technologies or drug candidates or otherwise agree to terms unfavorable to us. 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impair our prospects.</w:t>
      </w:r>
    </w:p>
    <w:p>
      <w:pPr>
        <w:spacing w:after="0" w:line="27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financial statements contain a footnote describing management’s assumption regarding our ability to continue as a going concern, which could prevent us from obtaining new financing on reasonable terms or at all.</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independent registered public accounting firm included an emphasis of matter in its report that our financial statements, included elsewhere in this prospectus, have been prepared assuming that we will continue as a going concern. For the six-month periods ended June 30, 2023 and 2022 and the years ended December 31, 2022 and 2021, we reported net losses of €52.0 million, €21.2 million, €60.7 million and €42.5 million, respectively. As of June 30, 2023, we carried forward accumulated tax losses of €355.4 million. Recurring losses may cast significant doubt or raise substantial doubt about our ability to continue as a going concern.</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There cannot be any assurance that we will be successful in obtaining necessary financing in the future to continue as a going concern or achieve profitability. We expect that we will need to raise additional capital following the completion of this equity offering in order to complete the necessary trials to achieve commercial viability of some or all of our drug candidates. If funds are not available, we may be required to delay, reduce the scope of, or eliminate research or development plans or commercialization efforts with respect to our products. The sale of additional equity may dilute existing shareholders and newly issued shares may contain senior rights and preferences compared to currently outstanding ordinary shares. Issued debt securities may contain covenants and limit our ability to pay dividends or make other distributions to our shareholders. If we are unable to obtain such additional financing, future operations (such as our clinical development programs) would need to be scaled back or discontinued. These factors may raise substantial doubt about our ability to continue as a going concern.</w:t>
      </w:r>
    </w:p>
    <w:p>
      <w:pPr>
        <w:spacing w:after="0" w:line="286"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7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for external purposes in accordance with international financial reporting standards.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our assets are made in accordance with management authorization; and providing reasonable assurance that unauthorized acquisition, use or disposition of our assets that could have a material effect on the financial statements would be prevented or detected on a timely basis. Because of its inherent limitations, internal control over financial reporting is not intended to provide absolute assurance that a misstatement of our financial statements would be prevented or detected.</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must maintain effective internal controls over financial reporting in order to accurately and timely report our results of operations and financial condition. In addition, as a public company listed in the United States,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Sarbanes-Oxley Act will require, among other things, that we assess the effectiveness of our internal controls over financial reporting at the end of each fiscal year, starting with the end of the first full fiscal year after the completion of the U.S. offering. However, our independent registered public accounting firm will not be required to attest to the effectiveness of our internal controls over financial reporting for so long as we are an “emerging growth company,” which may be up to five fiscal years following the date of this U.S. offering. An independent assessment of the effectiveness of our internal controls could detect problems that our management’s assessment might not.</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management has not completed an assessment of the effectiveness of our internal controls over financial reporting, and our independent registered public accounting firm has not conducted an audit of our internal controls over financial reporting. In conjunction with preparing our financial statements as of and for the years ended December 31, 2022 and 2021 and as of and for the six-month period ended June 30, 2023 for this offering, material weaknesses in our internal controls over financial reporting were identified. The material weaknesses related to a lack of risk assessment as well as formal, documented and implemented processes, controls and review procedures, specifically due to a lack of a sufficient number of professionals with an appropriate level of internal control knowledge, training and experience.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developing a remediation plan to address these material weaknesses and strengthen our controls in these areas. In this regard, we have started to reorganize our finance and accounting function by hiring additional experienced employees to provide more review and oversight over our financial processes. While we are working to remediate the material weaknesses as quickly and efficiently as possible, we cannot at this time provide the expected timeline in connection with implementing our remediation. As of June 30, 2023, we had not yet completed remediation of these material weaknesses. These remediation measures may be time-consuming and costly and might place significant demands on our financial and operational resources. There is no assurance that the actions we may take in the future will be sufficient to remediate the control deficiencies that led to these material weaknesses in our internal control over financial reporting or that they will prevent or avoid potential future material weaknesses.</w:t>
      </w:r>
    </w:p>
    <w:p>
      <w:pPr>
        <w:spacing w:after="0" w:line="166"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The rules governing the standards that will have to be met for our management to assess our internal controls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controls over financial reporting. We have begun the process of designing, implementing, and testing the internal controls over financial reporting required to comply with this obligation. This process is time-consuming, costly, and complicated. Our management may not be able to effectively and timely implement controls and procedures that adequately respond to the increased regulatory compliance and reporting requirements that will be applicable to us as a public company listed in the United States.</w:t>
      </w:r>
    </w:p>
    <w:p>
      <w:pPr>
        <w:spacing w:after="0" w:line="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If we fail to staff our accounting and finance function adequately or maintain internal controls over financial reporting adequate to meet the demands that will be placed upon us as a public company listed in the United States, our business and reputation may be harmed and the price of our ordinary shares and ADSs may decline. In addition, undetected material weaknesses in our internal controls over financial reporting could lead to restatements of financial statements and require us to incur the expense of remediation. Any of these developments could result in investor perceptions of us being adversely affected, which could cause a decline in the market price of our securities.</w:t>
      </w:r>
    </w:p>
    <w:p>
      <w:pPr>
        <w:spacing w:after="0" w:line="178"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growth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impairment of our goodwill could materially impact our financial position and results of our operations.</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We carry a goodwill balance, which is allocated to obefazimod and ABX196 cash generating units, on our balance sheet as a result of past business acquisitions, including with respect to obefazimod and ABX196. We are required to review our goodwill for impairment on an annual basis or more frequently if events or changes in circumstances indicate evidence of impairment. For the year ended December 31, 2022, we recorded a goodwill impairment loss of €13.6 million. The goodwill impairment loss was related to an impairment test conducted with respect to the ABX196 cash-generating unit as a result of significant external changes in the hepatocellular carcinoma treatment landscape, which are expected to require a new, lengthy, heavy and risky internal development process (use of a combination of compounds). As such, due to the lack of progress made in the negotiation of a development partnership, we made the decision to freeze the development program for ABX196 in the treatment of hepatocellular cancer, which led to full impairment of ABX196 goodwill. In July 2023, we have decided to completely stop our ABX196 program, which will be reflected in our next financial statements. After full impairment of the goodwill allocated to ABX196, we continue to carry a goodwill balance allocated to obefazimod amounting to €18.4 million in the aggregate as of June 30, 2023. We have not currently identified reasons to impair the goodwill allocated to obefazimod. However, there can be no assurance that, based on the results of our annual goodwill impairment tests, we will not be required to identify further goodwill impairment losses, which could have a material adverse effect on our results of operations.</w:t>
      </w:r>
    </w:p>
    <w:p>
      <w:pPr>
        <w:spacing w:after="0" w:line="27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have significant debt commitments, which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7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August 20, 2023, we entered into the Framework Subscription Agreement with KC and Claret, as the Secured Lenders. Under this Framework Subscription Agreement, we may draw up to €75 million in structured debt financing, in three tranches of €25 million in aggregate principal amount each. The Kreos / Claret Financing provides for certain restrictive covenants (subject to customary exceptions), which include, among other things, restrictions on the incurrence of indebtedness, cross-default, the distribution of dividends and the grant of security interests. As security for the Kreos / Claret Financing, the Secured Lenders benefit from the grant of first-ranking collateral on our principal tangible and intangible assets, including pledges over our business (</w:t>
      </w:r>
      <w:r>
        <w:rPr>
          <w:rFonts w:ascii="Arial" w:cs="Arial" w:eastAsia="Arial" w:hAnsi="Arial"/>
          <w:sz w:val="17"/>
          <w:szCs w:val="17"/>
          <w:i w:val="1"/>
          <w:iCs w:val="1"/>
          <w:color w:val="auto"/>
        </w:rPr>
        <w:t>fonds de commerce</w:t>
      </w:r>
      <w:r>
        <w:rPr>
          <w:rFonts w:ascii="Arial" w:cs="Arial" w:eastAsia="Arial" w:hAnsi="Arial"/>
          <w:sz w:val="17"/>
          <w:szCs w:val="17"/>
          <w:color w:val="auto"/>
        </w:rPr>
        <w:t>) as a going concern and intellectual property rights in our lead drug candidate, as well as pledges over our bank accounts and receivables. Such securities apply to all tranches of the Kreos / Claret Financing.</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on August 20, 2023, we entered into the Heights Subscription Agreement with Heights. Under the Heights Subscription Agreement, we may draw up to €75 million in amortizing senior convertible notes, in two tranches of €35 million and €40 million, respectively, as further described below. The terms and conditions of the Heights Convertible Notes include a negative pledge providing that any security granted in favor of other borrowed debt or debt instruments should also be granted in favor of the Heights Convertible Notes on an equal basis (with the exception of the securities issued pursuant to the Kreos / Claret Financing).</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In June 2020, we obtained a non-dilutive financing in the form of a State-guaranteed loan of €5.0 million. The loan was structured with an initial maturity of 12 months at 0.25% and a five-year extension option. In March 2021, we exercised the five-year extension option with a one-year deferral of principal repayment, with the following conditions: (i) a revised interest rate of 0.58%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excluding insurance and State-guaranteed premium; and (ii) a State-guaranteed premium of €0.1 million to be paid by installments over the contract period starting in June 2021.</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loan includes certain customary covenants and prepayment provisions. The negative covenants include an undertaking not to dispose of all or part of our assets for more than 50% of the gross value of our fixed assets.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There is also no guarantee that we will have sufficient cash to pay the bonds issued to the Secured Lenders or Heights at maturity, which could have a negative impact on our business as security interests have been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granted on our principal tangible and intangible assets: in particular, on our goodwill, intellectual property rights relating to our lead drug candidates, as well as a pledge of our bank accounts and claims. There is also no guarantee that we will have sufficient cash to make the scheduled payments on the Kreos / Claret Financing, the Heights Financing or the State-guaranteed loan, which could have a material adverse effect on our business, financial position and results of operations. Any failure to make scheduled payments or trigger for early repayment of the loan could have a material adverse effect on our business, financial position, income, growth and outlook. If we breach our obligations under any of these agreements, it could result in default and trigger an early repayment of the bonds. There is no guarantee that we would have the necessary resources to fund an advance repayment of the bonds.</w:t>
      </w:r>
    </w:p>
    <w:p>
      <w:pPr>
        <w:spacing w:after="0" w:line="303"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Our principal tangible and intangible assets serve as collateral under the terms of debt agreements for the Kreos / Claret Financing. If we default on these debt obligations, the Secured Lenders could foreclose on those assets, and we would be unable to continue our business and operations.</w:t>
      </w:r>
    </w:p>
    <w:p>
      <w:pPr>
        <w:spacing w:after="0" w:line="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August 2023, we entered into the Kreos / Claret Financing. In connection with the financing, we have granted the Secured Lenders with first-ranking collateral on our principal tangible and intangible assets, including pledges over our business (</w:t>
      </w:r>
      <w:r>
        <w:rPr>
          <w:rFonts w:ascii="Arial" w:cs="Arial" w:eastAsia="Arial" w:hAnsi="Arial"/>
          <w:sz w:val="17"/>
          <w:szCs w:val="17"/>
          <w:i w:val="1"/>
          <w:iCs w:val="1"/>
          <w:color w:val="auto"/>
        </w:rPr>
        <w:t>fonds de commerce</w:t>
      </w:r>
      <w:r>
        <w:rPr>
          <w:rFonts w:ascii="Arial" w:cs="Arial" w:eastAsia="Arial" w:hAnsi="Arial"/>
          <w:sz w:val="17"/>
          <w:szCs w:val="17"/>
          <w:color w:val="auto"/>
        </w:rPr>
        <w:t>) as a going concern and intellectual property rights in our lead drug candidate, as well as pledges over our bank accounts and receivables until our debt obligations thereunder are repaid in full. There can be no assurance that we will not breach the covenants or other terms of, or that an event of default will not occur under, the debt agreements for the Kreos / Claret Financing. If a breach or event of default occurs, there can be no assurance that we will be able to cure the breach within the time permitted. In the event of any failure to pay our obligations when due, any breach or default of our covenants or other obligations, or any other event that causes an acceleration of payment at a time when we do not have sufficient resources to meet these obligations, the Secured Lenders could foreclose on the collateral. If the Secured Lenders were to be successful, we would lose our intellectual property rights in our lead drug candidate and be unable to commercialize our lead drug candidate and conduct our business. Any of these consequences would have a material adverse effect on our business, financial condition and share price.</w:t>
      </w:r>
    </w:p>
    <w:p>
      <w:pPr>
        <w:spacing w:after="0" w:line="29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rely on grants and subsidies, which may not continue to be available and we may be forced to repay conditional advances prematurely if we fail to comply with our contractual obligations under certain innovation grant agreements.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received various grants and conditional advances from Bpifrance under various development programs, in a total amount of</w:t>
      </w:r>
    </w:p>
    <w:p>
      <w:pPr>
        <w:spacing w:after="0" w:line="35"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€20.1 million as of December 31, 2022. In the event that we do not comply with the contractual conditions stipulated in the aid agreements we have entered into, we may have to repay the sums advanced early. Such premature repayment could deprive us of the necessary financial resources for our research and development projects and we cannot guarantee that we will find necessary additional financial resources, the timeline for or the possibility of replacing these financial resources with others. We cannot guarantee that we will have the necessary resources to cope with an early repayment. A material repayment would result in a material adverse effect on our business, operations, financial position, income, growth, and outlook.</w:t>
      </w:r>
    </w:p>
    <w:p>
      <w:pPr>
        <w:spacing w:after="0" w:line="1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amount and date of payment of current and future grants and subsidies depend on many factors that are not in our control, including possible non-distribution decisions or the freezing of funds, as well as the achievement of key milestones previously agreed on with Bpifrance. Delays or failure in obtaining or replacing these grants and subsidies in the future could have a material adverse effect on our business, financial position, income, growth and outlook.</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Current equity agreements and convertible debt instruments may dilute our equity resulting in dilution to our shareholders, including purchasers of our ordinary shares (including in the form of ADSs) in this offering.</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Since our incorporation, we have issued and granted founder’s share warrants (BCE) and share warrants (BSA) and granted free shares (AGA) to persons linked to us and financing entities. We have also issued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bonds. See “Management’s Discussion and Analysis of Financial Condition and Results of Operations—Liquidity and Capital Resources.”</w:t>
      </w:r>
    </w:p>
    <w:p>
      <w:pPr>
        <w:spacing w:after="0" w:line="248"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The theoretical exercise of all the founder’s share warrants (BCE) and share warrant (BSA) instruments giving access to our capital issued and outstanding as of June 30, 2023, excluding securities held by financing entities, would allow for the subscription of 731,893 potential new ordinary shares, resulting in a hypothetical dilution equal to 1.7% based on our existing share capital as of June 30, 2023.</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OCEANE bonds that were outstanding as of June 30, 2023 conferred an entitlement to subscribe for 769,834 ordinary shares, given the adjustment of the conversion parity on January 30, 2023 in accordance with the terms and conditions of the OCEANE bonds. The OCEANE bonds were repaid in full on August 24, 2023 and, therefore, may no longer be converted into new ordinary shares.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Furthermore, our general meeting of June 5, 2023 delegated authority to the board of directors (the “Board”) to carry out one or more capital increases and/or issues of securities giving access to our capital subject to the following limitations:</w:t>
      </w:r>
    </w:p>
    <w:p>
      <w:pPr>
        <w:spacing w:after="0" w:line="76" w:lineRule="exact"/>
        <w:rPr>
          <w:sz w:val="20"/>
          <w:szCs w:val="20"/>
          <w:color w:val="auto"/>
        </w:rPr>
      </w:pPr>
    </w:p>
    <w:p>
      <w:pPr>
        <w:ind w:left="1080" w:right="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total maximum nominal amount of the capital increases set at €500,000 (or the equivalent value of that amount in the event of an issue in another currency) with a total maximum nominal amount of the debt securities that may be issued set at €150,000,000 (or the equivalent value of that amount in the event of an issue in another currency); and</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that may be issued or allotted in the context of equity incentive plans (share warrants (BSA), share options and/or free shares (AGA)) may not exceed 10% of the share capital on a fully diluted basis recorded as of June 5, 2023.</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Using such delegation, we issued in August 2023 the following securities in connection with the Kreos / Claret Financing and the Heights Financing: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25,000,000 convertible bonds with warrants attached with an individual nominal value of €1.00 issued to KC and Claret, which allow for the subscription of up to 1,178,084 new ordinary shares at a conversion price of €21.22 per ordinary share;</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214,198 share warrants (BSA) issued to KC and Claret, which allow for the subscription of up to 214,198 new ordinary shares at an exercise price of €18.67 per ordinary share; and</w:t>
      </w:r>
    </w:p>
    <w:p>
      <w:pPr>
        <w:spacing w:after="0" w:line="75" w:lineRule="exact"/>
        <w:rPr>
          <w:rFonts w:ascii="Arial" w:cs="Arial" w:eastAsia="Arial" w:hAnsi="Arial"/>
          <w:sz w:val="18"/>
          <w:szCs w:val="18"/>
          <w:color w:val="auto"/>
        </w:rPr>
      </w:pPr>
    </w:p>
    <w:p>
      <w:pPr>
        <w:jc w:val="both"/>
        <w:ind w:left="1080" w:right="60" w:hanging="424"/>
        <w:spacing w:after="0" w:line="286"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350 convertible notes due 2027 with an individual nominal value of €100,000 issued to Heights, which allow for the subscription of up to 1,472,606 new shares at a conversion price of €23.77 per ordinary share. In case we opt to repay the principal and accrued interest of such notes entirely in shares, we may issue up to 2,830,201 new ordinary shares in connection with such repayment.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failure to maintain certain tax benefits applicable to French biopharmaceutical companies may adversely affect our operations and finances.</w:t>
      </w:r>
    </w:p>
    <w:p>
      <w:pPr>
        <w:spacing w:after="0" w:line="15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As a French biopharmaceutical company, we have benefited from certain tax advantages, including, for example, the Research and Development Tax Credit (</w:t>
      </w:r>
      <w:r>
        <w:rPr>
          <w:rFonts w:ascii="Arial" w:cs="Arial" w:eastAsia="Arial" w:hAnsi="Arial"/>
          <w:sz w:val="17"/>
          <w:szCs w:val="17"/>
          <w:i w:val="1"/>
          <w:iCs w:val="1"/>
          <w:color w:val="auto"/>
        </w:rPr>
        <w:t>crédit impôt recherche</w:t>
      </w:r>
      <w:r>
        <w:rPr>
          <w:rFonts w:ascii="Arial" w:cs="Arial" w:eastAsia="Arial" w:hAnsi="Arial"/>
          <w:sz w:val="17"/>
          <w:szCs w:val="17"/>
          <w:color w:val="auto"/>
        </w:rPr>
        <w:t>) (“CIR”), which is a French tax credit aimed at stimulating research and development. CIR can be offset against French corporate income tax due and the portion in excess, if any, may be refunded. CIR is calculated based on our claimed amount of eligible research and development expenditures in France and represents €4.5 million for 2022. The French tax authorities, with the assistance of the Higher Education and Research Ministry, may audit each research and development program in respect of which a CIR benefit has been claimed and assess whether such program qualifies in its view for the CIR benefit. The French tax authorities may challenge our eligibility for, or our calculation of, certain tax reductions or deductions in respect of our research and development activities and, should the French tax authorities be successful, our credits may be reduced, which would have a negative impact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on our results of operations and future cash flows. Furthermore, the French Parliament may decide to eliminate, or to reduce the scope or the rate of, the CIR benefit, either of which it could decide to do at any time. If we fail to receive future CIR amounts, our business, prospects, financial condition, cash flows or results of operations could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carry forward existing tax losses.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June 30, 2023, we carried forward accumulated tax losses of €355.4 million. In 2014, we acquired the companies Splicos, Wittycell and Zophis by means of a universal transfer of assets and liabilities. The tax losses carried forward of the three companies combined (Splicos, Wittycell and Zophis) amounted to €26.0 million on the date of the mergers and transfer of remaining assets. The transfer to us of these losses was subject to a post-merger approval by the French tax authorities, which approved the transfer of a total amount of €22.5 million. As a result of the transfer of these tax losses to us, our tax losses carried forward amounted to €308.8 million as at the end of 2022. To the extent we have continued conducting the business that led to these losses for a minimum period of three years, without making significant changes during this period, the transfer of such tax losses should be definitive. In France, the maximum amount of carried forward tax losses that can be written off against the tax profits of a given financial year is limited to €1 million plus 50% of the amount of taxable profits for the financial year exceeding €1 million. The outstanding tax losses remain valid and can be carried forward to be written off against tax profits of subsequent financial years subject to the same limit, for an unlimited period of time (subject to any “significant change of activity” at our level). It cannot be ruled out that regulatory or legislative changes in corporate taxation may suppress or limit all or part of the ability to use carried forward tax losses, or limit how long they can be used, to offset future profits. Changes in corporate taxation regarding the use of carried forward tax losses to offset future tax profits could have a material adverse effect on our financial position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Drug candidates under development must undergo costly, rigorous and highly regulated preclinical studies and clinical trials, whose time of completion, number and outcomes are uncertain.</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development of a drug candidate is a long and expensive process with an uncertain outcome, progressing in several phases, where the objective is to demonstrate the therapeutic benefit provided by the drug candidate for one or more indications. Any failure during the various preclinical and clinical phases for a given indication could delay development, production and commercialization of the therapeutic product concerned or even lead to discontinuing its development. Identifying potential drug candidates and conducting preclinical testing and clinical trials is a time-consuming, expensive and uncertain process that takes years to complete, and we may never generate the data or required results required to obtain regulatory approval and achieve commercialization.</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During clinical trials, we may encounter difficulties determining and recruiting patients with the appropriate profile. This profile could also vary depending on the different phases of these clinical trials. Patients might then not be recruited according to a timetable compatible with our financial resources which may result in a harm to our operation results.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At each phase of clinical development, we must ask for authorization from the relevant authorities of various countries, according to our development plan, to conduct clinical trials and then present the results of the clinical trials to these authorities. The authorities may refuse to provide the authorizations necessary for clinical trials or have additional requirements (for example, relating to study protocols, patient characteristics, treatment durations, post-treatment follow-up, certain differences in interpreting results between local regulatory agencies), and in some cases may require additional studies. Any refusal or decision by health authorities to require additional trials or examinations would be likely to result in the discontinuation or delay of the development of the products concerned. An absence of or delay in therapeutic response could also result in the delay or even discontinuation of the development of our drug candidates.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cannot guarantee that the development of our drug candidates will ultimately be successful, especially within time frames compatible with our financial resources or market needs. Any failure or delay in the development of these products would have a material adverse effect on our business, income, financial position and outlook.</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developing drug candidates for inflammatory diseases. To our knowledge, currently, there are no similar immunological treatments with a mechanism of action based on enhanced expression of a single microRNA miR-124, with marketing authorization granted by competent regulatory authorities. As a result, the outlook is uncertain for the development and profitability of obefazimod in the area of inflammatory diseases, its efficacy and acceptance by patients, doctors and paying agencies. Animal testing does not necessarily predict the results that will be obtained in humans. Positive results for obefazimod during Phase 1, Phase 2b or Phase 3 clinical trials or those for all the products in the portfolio during their research or preclinical phases might not be confirmed by subsequent phases. Such outcomes could have a material adverse impact on our business, income, financial position and growth.</w:t>
      </w:r>
    </w:p>
    <w:p>
      <w:pPr>
        <w:spacing w:after="0" w:line="303"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currently have no drug candidates approved for sale, and we cannot guarantee that we will ever have marketable drug candidates. Our ability to generate revenue related to sales, if any, will in the near future depend entirely on the successful development and regulatory approval of obefazimod. In Europe and the United States, as well as in many other countries, access to the drug market is controlled and marketing must be authorized by a regulatory authority. Most of the time, this registration application is filed with a national health authority, except in the case of the European Union, where a centralized procedure for reviewing marketing authorization application (“MAA”) managed by the European Medicines Agency (“EMA”) exists for specific kind of medicinal products.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research, testing, manufacturing, safety, efficacy, labeling, approval, sale, marketing and distribution of our drug candidates are, and will remain, subject to comprehensive and extensive regulation by the EMA in the European Union, the Food and Drug Administration (“FDA”) in the United States, the Pharmaceuticals and Medical Devices Agency (“PMDA”) in Japan and regulatory authorities in other countries, with regulations differing from country to country. Subject to limited exceptions, we are not permitted to market our drug candidates in the European Union, the United States or Japan until we receive approval of an MAA from the European Commission or (a) Member State(s) authority(ies) or a new drug application (“NDA”) from the FDA or the PMDA. We have not submitted any marketing applications for any of our drug candidates. Regulators of each jurisdiction have their own procedures for approval of drug candidates. Failure to obtain regulatory approval for our drug candidates in any jurisdiction will prevent us from commercializing and marketing our drug candidates in such jurisdictions, and marketing authorizations may be granted for narrow indications which may significantly reduce the market of our drug candidates.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Obtaining and maintaining marketing authorization, by country or by geographical area in the case of the European Union, presupposes compliance with the mandatory standards imposed by the regulatory authorities and submission to the authorities of a great deal of information about the new product regarding its toxicity, dosage, quality, efficacy and safety all over its life cycle. The authorization process is long and expensive, and the result of this process remains uncertain. We are therefore careful to continuously comply with good practices in order not to jeopardize our chances of ultimately obtaining, directly or via our business partners, marketing authorization for the products we are developing. Obtaining marketing authorization in a given country or geographical area does not automatically ensure or immediately lead to obtaining marketing authorization in other countries.</w:t>
      </w:r>
    </w:p>
    <w:p>
      <w:pPr>
        <w:spacing w:after="0" w:line="19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order to obtain marketing authorization for one of our products, we may have to perform preclinical animal studies and complete human clinical trials in order to demonstrate the safety and efficacy of the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the event patients are exposed to unforeseen and serious risks, we or the regulatory authorities may choose to suspend or terminate these clinical trials.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MAAs, NDAs and similar authorizations must include extensive preclinical and clinical data and supporting information to establish the drug candidate’s safety and effectiveness for each desired indication. NDAs, MAAs and similar authorizations must also include significant information regarding the chemistry, manufacturing and controls for the drug. Obtaining approval of a MAA or a NDA is a lengthy, expensive and uncertain process, and we may not be successful in obtaining approval. The EMA, Member States national authorities, FDA and PMDA review processes can take years to complete and approval is never guaranteed. If we submit an NDA to the FDA, the FDA must decide whether to accept or reject the submission for filing. We cannot be certain that any submissions will be accepted for filing and review by the FDA. Regulators of other jurisdictions, such as the EMA and the PMDA, have their own procedures for the scientific evaluation or approval of drug candidates.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Even if a drug is approved, the FDA, the EMA or the PMDA, as the case may be, may limit the indications for which the drug may be marketed, require extensive warnings on the drug labeling or require expensive and time-consuming clinical trials or reporting as conditions of approval. Regulatory authorities in countries outside the European Union, the United States and Japan also have requirements for approval of drug candidates with which we must comply prior to marketing in those countries. Obtaining regulatory approval for marketing of a drug candidate in one country does not ensure that we will be able to obtain regulatory approval in any other country. In addition, delays in approvals or rejections of marketing applications in the European Union, the United States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drug development and the emergence of new information regarding our drug candidates or other drug candidates.</w:t>
      </w:r>
    </w:p>
    <w:p>
      <w:pPr>
        <w:spacing w:after="0" w:line="27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drug candidate, we will be subject to ongoing regulatory obligations and continued regulatory review, which may result in significant additional expense</w:t>
      </w:r>
    </w:p>
    <w:p>
      <w:pPr>
        <w:spacing w:after="0" w:line="62"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Even if we receive approval of any of our drug candidates, such regulatory approval may be withdrawn, or such approvals may be contingent on ongoing obligations and continued regulatory review, which may result in significant additional expense. As a general matter, any regulatory approvals that we may receive for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ongoing compliance with current Good Manufacturing Practice (“GMP”) and Good Clinical Practice requirements (“GCPs”) for any clinical trials that we may continue to conduct. In addition, manufacturers of drug products and their facilities are subject to continual review and periodic, unannounced inspections by the FDA and other regulatory authorities for compliance with GMP regulations and standards. In addition, any regulatory approvals we may receive will require the submission of reports to regulatory authorities and surveillance to monitor the safety and efficacy of the drug candidate.</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Additionally, our drug candidates, even if approved, may include limitations related to use restrictions for specified age groups, warnings, precautions or contraindications, and may include burdensome post-approval study or risk management requirements. For example, the FDA may require a risk evaluation and mitigation strategy (“REMS”) as a condition of approval of our drugs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may need to maintain or obtain a Good Manufacturing Practice (“GMP”) certificate in order to produce the immunotherapies that we are developing (for clinical trial purposes or during the commercialization phase). We cannot guarantee that we will obtain or be able to maintain this certificate, nor that certain additional constraints related to this certificate will not be imposed on us in the future. Any failure to follow and document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adherence to such 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 Failure to comply with applicable regulations could also result in the FDA or other applicable regulatory authorities taking various actions, including:</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levying fines and other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imposing consent decrees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suspend or put on hold one or more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suspending or withdrawing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delaying or refusing to approve pending applications or supplements to approved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or our third-party manufacturers to suspend manufacturing activities or product sales, imports or exports;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communicate with physicians and other customers about concerns related to actual or potential safety, efficacy and other issues involving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mandating product recalls or seizing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imposing operating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seeking criminal prosecutions.</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FDA generally requires two adequate and well-controlled clinical trials to support approval. In addition, we must scale up manufacturing and complete other standard preclinical studies and clinical trials. We cannot predict whether our future trials will be successful or whether regulators will agree with our conclusions regarding the preclinical studies and clinical trials we have conducted to date and will conduct in the future.</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Failure to obtain authorization for our drug candidates in one or more jurisdictions, particularly in respect of our lead drug candidate, obefazimod, would have a material adverse effect on our business, outlook, financial position, results and development.</w:t>
      </w:r>
    </w:p>
    <w:p>
      <w:pPr>
        <w:spacing w:after="0" w:line="278"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drug candidates may cause undesirable side effects or have other properties that could delay or prevent their regulatory approval, or, if approval is received, require our drug candidates to be withdrawn from the market, require them to include safety warnings or otherwise limit their sales.</w:t>
      </w:r>
    </w:p>
    <w:p>
      <w:pPr>
        <w:spacing w:after="0" w:line="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Undesirable side effects caused by our drug candidates could cause us or regulatory authorities to interrupt, delay or halt clinical trials, or even discontinuation and could result in a more restrictive label or the delay or denial of regulatory approval by the European Commission, FDA, PDMA or other comparable authorities in other jurisdictions. If severe side effects were to occur, or if one of our drug candidates is shown to have other unexpected characteristics, we may need to either restrict the use of such product to a smaller population or abandon development of such drug candidates.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one or more of our drug candidates received marketing approval, and we or others later identify undesirable side effects caused by such drugs or negative interactions with other products or treatments (including, for example, as a result of interactions with other products once on the market), a number of potentially significant negative consequences could result, including:</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w:t>
      </w:r>
    </w:p>
    <w:p>
      <w:pPr>
        <w:spacing w:after="0" w:line="130" w:lineRule="exact"/>
        <w:rPr>
          <w:rFonts w:ascii="Arial" w:cs="Arial" w:eastAsia="Arial" w:hAnsi="Arial"/>
          <w:sz w:val="18"/>
          <w:szCs w:val="18"/>
          <w:color w:val="auto"/>
        </w:rPr>
      </w:pPr>
    </w:p>
    <w:p>
      <w:pPr>
        <w:ind w:left="5540" w:right="1800" w:hanging="4884"/>
        <w:spacing w:after="0" w:line="449" w:lineRule="auto"/>
        <w:tabs>
          <w:tab w:leader="none" w:pos="10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physicians, healthcare payors, patients or the medical community in general may not recommend/use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drug candidate, if approved, and could have a material adverse effect on our business, prospects, financial condition, cash flows or results of operations.</w:t>
      </w:r>
    </w:p>
    <w:p>
      <w:pPr>
        <w:spacing w:after="0" w:line="278"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b w:val="1"/>
          <w:bCs w:val="1"/>
          <w:i w:val="1"/>
          <w:iCs w:val="1"/>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Clinical failure can occur at any stage of our clinical development. Success in preclinical studies and early clinical trials, as well as data from any interim analysis of ongoing trials do not ensure that subsequent clinical trials will generate the same or similar results. A number of companies in the pharmaceuticals industry, including those with greater resources and experience than us, have suffered significant setbacks in Phase 3 clinical trials, even after seeing promising results in earlier clinical trials, and we could face similar setbacks. In some instances, there can be significant variation in safety or efficacy results between different clinical trials of the same drug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Moreover, data obtained from preclinical and clinical activities is subject to varying interpretations, which may delay, limit or prevent regulatory approval. Any such delays or failures could negatively impact our business, financial condition, results of operation and prospects. The positive results generated in preclinical and clinical trials for obefazimod does not ensure that current or future trials will continue to demonstrate similar safety and/or efficacy results.</w:t>
      </w:r>
    </w:p>
    <w:p>
      <w:pPr>
        <w:spacing w:after="0" w:line="182"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Drug candidates in later stages of clinical trials may fail to show the desired safety and efficacy traits despite having progressed through preclinical studies and earlier clinical trials. In addition to the safety and efficacy traits of any drug candidate, clinical trial failures may result from a multitude of factors including flaws in trial design, dose selection, placebo effect and patient enrollment criteria. Based upon negative or inconclusive results, we or our collaborators may decide, or regulators may require us, to conduct additional clinical trials or preclinical studies. Further, data obtained from trials and studies are susceptible to varying interpretation, and regulators may not interpret our data as favorably as we do, which may delay, limit or prevent regulatory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guarantee the commercial success of the drug candidates that we develop.</w:t>
      </w:r>
    </w:p>
    <w:p>
      <w:pPr>
        <w:spacing w:after="0" w:line="117" w:lineRule="exact"/>
        <w:rPr>
          <w:sz w:val="20"/>
          <w:szCs w:val="20"/>
          <w:color w:val="auto"/>
        </w:rPr>
      </w:pPr>
    </w:p>
    <w:p>
      <w:pPr>
        <w:jc w:val="both"/>
        <w:ind w:left="120" w:right="360" w:firstLine="440"/>
        <w:spacing w:after="0" w:line="342" w:lineRule="auto"/>
        <w:rPr>
          <w:sz w:val="20"/>
          <w:szCs w:val="20"/>
          <w:color w:val="auto"/>
        </w:rPr>
      </w:pPr>
      <w:r>
        <w:rPr>
          <w:rFonts w:ascii="Arial" w:cs="Arial" w:eastAsia="Arial" w:hAnsi="Arial"/>
          <w:sz w:val="16"/>
          <w:szCs w:val="16"/>
          <w:color w:val="auto"/>
        </w:rPr>
        <w:t>If we or one or more of our commercial partners succeeds in obtaining marketing authorization, allowing us or them to market the therapeutic products developed by us, it may nevertheless take time to gain the support of the medical community, health care providers and third-party payers.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level of market acceptance for each of our products will depend on several factors, notably on the following:</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prescribers’ perception of the product’s therapeutic benefit;</w:t>
      </w:r>
    </w:p>
    <w:p>
      <w:pPr>
        <w:spacing w:after="0" w:line="130" w:lineRule="exact"/>
        <w:rPr>
          <w:rFonts w:ascii="Arial" w:cs="Arial" w:eastAsia="Arial" w:hAnsi="Arial"/>
          <w:sz w:val="18"/>
          <w:szCs w:val="18"/>
          <w:color w:val="auto"/>
        </w:rPr>
      </w:pPr>
    </w:p>
    <w:p>
      <w:pPr>
        <w:ind w:left="5540" w:right="2280" w:hanging="4884"/>
        <w:spacing w:after="0" w:line="449" w:lineRule="auto"/>
        <w:tabs>
          <w:tab w:leader="none" w:pos="10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healthcare policies established in each of the countries in which we are considering marketing our products; 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occurrence of adverse reactions once marketing authorization has been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ease of use of the product, especially relating to its mode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reimbursement policies of governments and other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effectiveness of sales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implementation of a scientific publication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 of one or more competing products for the same indication;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use of the product together with medications.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Although the products we are developing are intended to provide a therapeutic response to a need that is presently unmet, poor market penetration resulting from one or more of the factors described above would have a negative impact on their commercialization and on our ability to generate profits, which could have a material adverse effect on our business, outlook, financial position, income and growth.</w:t>
      </w:r>
    </w:p>
    <w:p>
      <w:pPr>
        <w:spacing w:after="0" w:line="27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future may depend on our most advanced clinical development program, obefazimod, since our other drug candidates are in a less advanced stage of development.</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Obefazimod is our most advanced drug candidate. Obefazimod has required, and may continue to require, significant investments of our time and financial resources, as well as the special attention of highly qualified staff. Consequently, if we were unable to obtain conclusive results in ongoing maintenance trials, Phase 3 of obefazimod in UC or Phase 2 of obefazimod in CD, it could have a material adverse effect on our business, outlook, financial position, results and development.</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may experience setbacks that could delay or prevent regulatory approval of our drug candidates or our ability to commercialize any products, including:</w:t>
      </w:r>
    </w:p>
    <w:p>
      <w:pPr>
        <w:spacing w:after="0" w:line="76" w:lineRule="exact"/>
        <w:rPr>
          <w:sz w:val="20"/>
          <w:szCs w:val="20"/>
          <w:color w:val="auto"/>
        </w:rPr>
      </w:pPr>
    </w:p>
    <w:p>
      <w:pPr>
        <w:ind w:left="1080" w:right="26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drug candidates similar to ours, leading to a decision or requirement to conduct additional preclinical testing or clinical trials or abandon a program;</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comparable to our drug candidates;</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submitting investigational new drug applications in the United States or comparable foreign applications or delays or failure in obtaining the necessary approvals from regulators or institutional review boards (“IRBs”) or ethics committees to commence a clinical trial, or a suspension or termination of a clinical trial once commenced;</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FDA or comparable foreign authorities do not accept the earlier preclinical and clinical trial work, then we may need to conduct additional preclinical studies or clinical trials beyond that which we currently have planned and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contracting with clinical sites or enrolling subjects in clinical trials, including due to any health pandemic and/or other macroeconomic factors;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or IRBs or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investigators and prospective contract research organizations (“CROs”)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drug candidates may be larger than we anticipate or subjects may drop out of these clinical trials or fail to return for post-treatment follow-up at a higher rate than we anticipate;</w:t>
      </w:r>
    </w:p>
    <w:p>
      <w:pPr>
        <w:spacing w:after="0" w:line="75"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CROs for preclinical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than anticipated clinical trial costs, including as a result of delays or interruptions that could increase the overall costs to finish our clinical trials as our fixed costs are not substantially reduced during delays;</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elect to, or regulators, IRBs or Data Safety Monitoring Boards (“DSMBs”)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89"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drug candidates may be greater than we anticipate;</w:t>
      </w:r>
    </w:p>
    <w:p>
      <w:pPr>
        <w:spacing w:after="0" w:line="75"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to initiate or complete a given clinical trial;</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 term toxicology studies, or impose other requirements before permitting us to initiate a clinical trial, including because the FDA has not reviewed our preclinical or clinical data, to date, having been developed outside the United States;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poor efficacy of our drug candidates during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clinical trial sites or manufacturing facilities;</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(“REMS”) that may be required by the FDA or comparable requirements in other jurisdictions to ensure the benefits of an individual product outweigh its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acceptance of our clinical trial data by the patient or medical communities or third-party payors;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drug candidates if we are unable to locate and enroll a sufficient number of eligible patients to participate in these trials to such trial’s conclusion as required by applicable regulatory authorities. The eligibility criteria of our clinical trials, once established, may further limit the pool of available trial participants.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in clinical trials may be affected by other factors,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size and nature of the targeted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or condition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efficacy of approved therapies for the disease or condition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drug candidate under study;</w:t>
      </w:r>
    </w:p>
    <w:p>
      <w:pPr>
        <w:spacing w:after="0" w:line="130"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products that may be approved for, or any drug candidates under investigation for, the indications we are investigating;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such trials before completion.</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Additionally, other pharmaceutical companies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drug candidates and jeopardize our ability to obtain regulatory approval for the sale of our drug candidates. Furthermore, even if we are able to enroll a sufficient number of patients for our clinical trials, we may have difficulty maintaining enrollment of such patients in our clinical trials.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320" w:top="459" w:right="5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developing certain of our drug candidates in combination with other therapies, and safety or supply issues with combination use products may delay or prevent development and approval of our therapeutic candidates.</w:t>
      </w:r>
    </w:p>
    <w:p>
      <w:pPr>
        <w:spacing w:after="0" w:line="6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developing certain of our drug candidates in combination with one or more approved or investigational therapies. Even if any drug candidate we develop were to receive marketing approval or be commercialized for use in combination with other existing therapies, we would continue to be subject to the risks that the FDA, European Commission, PDMA or similar foreign regulatory authorities could revoke approval of the therapy used in combination with our product or that safety, efficacy, manufacturing or supply issues could arise with any of those existing therapies. If the therapies we use in combination with our drug candidates are replaced as the standard of care for the indications we choose for any of our drug candidates, the EMA, FDA, PDMA or similar foreign regulatory authorities outside may require us to conduct additional clinical trials. The occurrence of any of these risks could result in our own products, if approved, being removed from the market or being less successful commercially.</w:t>
      </w:r>
    </w:p>
    <w:p>
      <w:pPr>
        <w:spacing w:after="0" w:line="16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also may evaluate our drug candidates in combination with one or more therapies that have not yet been approved for marketing by the FDA, European Commission, PDMA or similar foreign regulatory authorities. We will not be able to market and sell any drug candidate we develop in combination with an unapproved therapy if that unapproved therapy does not ultimately obtain marketing approval. In addition, unapproved therapies face the same risks described with respect to our drug candidates currently in development, including the potential for serious adverse effects, delay in their clinical trials and lack of FDA, European Commission, or PDMA, or similar foreign regulatory authorities or PDMA approval.</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FDA, European Commission or similar foreign regulatory authorities do not approve these other therapies or revoke their approval of, or if safety, efficacy, manufacturing or supply issues arise with, the therapies we choose to evaluate in combination with our drug candidates, we may be unable to obtain approval of or market any such drug candidate.</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our drug candidates outside of the U.S., and the FDA may not accept data from such trials, in which case our development plans may be delayed, which could materially harm our business.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 the past conducted clinical trials or a portion of our clinical trials for our drug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for example,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drug candidates that we may develop not receiving approval for commercialization in the applicable jurisdiction.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7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securities.</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candidate or our business.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28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spacing w:after="0" w:line="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approved drugs and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virus or emergence of new variants may lead to further inspectional delays. Regulatory authorities outside the United States have adopted similar policy measures in response to COVID-19.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drug candidates, if approved, we could become subject to significant liability, which would materially adversely affect our business and financial condition.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find industrial partners to pursue the clinical and commercial development of obefazimod.</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aim to enter into licensing and distribution partnerships with pharmaceutical companies in order to fund the completion of the clinical development and marketing preparation of our lead drug candidate, obefazimod. Consequently, we should find partners with sufficient capacity to perform Phase 1, 2 and/or 3 clinical trials on a national or international scale and mass-produce, distribute and market immunotherapies and anti-inflammatory treatments such as obefazimod. If we were to enter into such partnerships, the commercialization of our products would depend, in part, on the clinical, industrial, marketing and commercial development efforts of our business partners and the ability of these partners to produce and sell obefazimod. Any failure on the part of our partners could have a material adverse effect on our growth and outlook.</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It is also possible that we may not be able to enter into partnerships under economically reasonable conditions or at all. This could have a material adverse effect on our business, outlook, financial position, results and development.</w:t>
      </w:r>
    </w:p>
    <w:p>
      <w:pPr>
        <w:spacing w:after="0" w:line="27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may not be able to conduct, or contract others to conduct, animal testing in the future, which could harm our research and development activities.</w:t>
      </w:r>
    </w:p>
    <w:p>
      <w:pPr>
        <w:spacing w:after="0" w:line="62"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Certain laws and regulations relating to drug development require us to test our drug candidates on animals before initiating clinical trials involving humans. Animal testing activities have been the subject of controversy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and Strategic Development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expect to expand our organization, and as a result, we may encounter difficulties in managing our growth, which could disrupt our operations.</w:t>
      </w:r>
    </w:p>
    <w:p>
      <w:pPr>
        <w:spacing w:after="0" w:line="15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order to manage our anticipated development and expansion, including the potential commercialization of our drug candidates in Europe and the United States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the attention of our management and business development resources away from day-to-day activities and devote a substantial amount of time to managing internal or external growth. Our inability to manage growth or unexpected difficulties encountered during expansion could have a material adverse effect on our business, income, financial position, growth and outlook.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international operations subject us to various risks, and our failure to manage these risks could adversely affect our results of operations.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face significant operational risks as a result of doing business internationally, such as:</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changes to the accounting standards, which may influence our financial situation and results;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of, or significant difficulties in enforcing, intellectual property rights in certain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 including unilateral cancellation or modification of contracts;</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33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drug candidates may be limited to patients who are ineligible for or have failed prior treatments and may be small or different from our estimates.</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current IBD treatment approach is influenced by multiple factors, including disease severity, previous response to treatment, side effects and co-morbidities. The current standard of care for treatment of patients with mild IBD involves the use of conventional anti-inflammatory therapies. Conventional anti-inflammatory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therapies include: aminosalicylates (e.g., 5-ASA), immunosuppressants or immunomodulators (e.g., 6-mercaptopurine (“6-MP”), methotrexate (“MTX”)) and corticosteroids that are usually prescribed for short-term treatment to manage flare-ups. Despite these conventional therapies, patients suffering from mild IBD may evolve towards moderate and severe forms of IBD requiring the use of advanced therapies. However, available therapies often only have moderate efficacy that changes or may wane over time, as patients have the potential to stop responding or do not respond at all to these treatments and thus require new therapeutic management options.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While we hope to position obefazimod as a potential first-line advanced therapy, there is no guarantee that even if approved, it would be approved for first-line advanced therapy. This could limit our potential market opportunity. In addition, we may have to conduct additional clinical trials prior to gaining approval for first-line advanced therapy.</w:t>
      </w:r>
    </w:p>
    <w:p>
      <w:pPr>
        <w:spacing w:after="0" w:line="292"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3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Sales of our drug candidates could be adversely impacted by the reluctance of physicians, healthcare payors, patients or the medical community in general to adopt them and by the availability of competing drugs.</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Even if we obtain regulatory approval for one or more of our drug candidates, physicians, healthcare payors, patients or the medical community in general may be reluctant to try a new drug due to the high degree of risk associated with the application of new drugs in the field of human medicine, especially if the new drug differs from the currently prevailing medication for a given complaint. We will need to expend significant sums of money to market our products to increase the public’s awareness within numerous limits set by the regulations concerning the promotion of drugs. If our products do not achieve an adequate level of acceptance, we may not generate enough revenues to become profitable or the profitability may occur much later.</w:t>
      </w:r>
    </w:p>
    <w:p>
      <w:pPr>
        <w:spacing w:after="0" w:line="16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Competing drug candidates in the chronic inflammatory disease field are being manufactured and marketed by other companies, including, but not limited to, AbbVie, Pfizer, Eli Lilly, Takeda and Johnson &amp; Johnson. To compete with other drugs, particularly any that sell at lower prices, our drug candidates will have to provide medically significant advantages or be more cost-effective. Even if we can overcome physician reluctance and compete with products that are currently on the market, our competitors may succeed in developing new, safer, more accurate or more cost-effective treatments or therapeutic indications that could render our drug candidates obsolete or non-competitive.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economic conditions could materially adversely impact demand for our drug candidates.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Our operations and performance depend significantly on economic conditions. Global financial conditions continue to be subject to volatility arising from international geopolitical developments, such as the war in Ukraine and global economic phenomena, as well as general financial market turbulence, natural phenomena and any public health outbreak. Uncertainty about global economic conditions could result in:</w:t>
      </w:r>
    </w:p>
    <w:p>
      <w:pPr>
        <w:spacing w:after="0" w:line="71" w:lineRule="exact"/>
        <w:rPr>
          <w:sz w:val="20"/>
          <w:szCs w:val="20"/>
          <w:color w:val="auto"/>
        </w:rPr>
      </w:pPr>
    </w:p>
    <w:p>
      <w:pPr>
        <w:ind w:left="1080" w:right="2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third-party suppliers being unable to produce components for our drug candidates in the same quantity or on the same timeline or being unable to deliver such parts and components as quickly as before or subject to price fluctuations, which could have a material adverse effect on our production or the cost of such production;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once our drug candidates are available for sale, customers postponing purchases of our drug candidates in response to tighter credit, unemployment, negative financial news and/or declines in income or asset values and other macroeconomic factors, which could have a material adverse effect on demand for our drug candidates,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either of which could, accordingly, have a material adverse effect on our business, results of operations or financial condition.</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Access to public financing and credit can be negatively affected by the effect of these events on European, U.S. and global credit markets. The health of the global financing and credit markets may affect our ability to obtain equity or debt financing in the future and the terms at which financing or credit is available to us. These instances of volatility and market turmoil could adversely affect our operations and the trading price of our ordinary shares.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6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Changes in laws and policies governing foreign trade could adversely affect our business. As a result of recent and future policy changes, there may be greater restrictions and economic disincentives on international trade. Such changes have the potential to adversely impact the global and local economies, our industry and global demand for our drug candidates and, as a result,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currency exchange rates may significantly impact our results of operations.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business is located, and our operations are conducted, in Europe. As a result, we are exposed to an exchange rate risk between the U.S. dollar and the Euro. The exchange rates between these currencies in recent years have fluctuated significantly and may continue to do so in the future. An appreciation of the Euro against the U.S. dollar could increase the relative cost of our drug candidates outside of Europe, which could have a negative effect on sales. Conversely, to the extent that we are required to pay for goods or services in U.S. dollars, the depreciation of the Euro against the U.S. dollar would increase the cost of such goods and services.</w:t>
      </w:r>
    </w:p>
    <w:p>
      <w:pPr>
        <w:spacing w:after="0" w:line="176" w:lineRule="exact"/>
        <w:rPr>
          <w:sz w:val="20"/>
          <w:szCs w:val="20"/>
          <w:color w:val="auto"/>
        </w:rPr>
      </w:pPr>
    </w:p>
    <w:p>
      <w:pPr>
        <w:jc w:val="both"/>
        <w:ind w:left="120" w:right="600" w:firstLine="440"/>
        <w:spacing w:after="0" w:line="259" w:lineRule="auto"/>
        <w:rPr>
          <w:sz w:val="20"/>
          <w:szCs w:val="20"/>
          <w:color w:val="auto"/>
        </w:rPr>
      </w:pPr>
      <w:r>
        <w:rPr>
          <w:rFonts w:ascii="Arial" w:cs="Arial" w:eastAsia="Arial" w:hAnsi="Arial"/>
          <w:sz w:val="18"/>
          <w:szCs w:val="18"/>
          <w:color w:val="auto"/>
        </w:rPr>
        <w:t>We do not hedge our currency exposure and, therefore, we incur currency transaction risk whenever we enter into either a purchase or sale transaction using a currency other than the Euro. Given the volatility of exchange rates, we might not be able to effectively manage our currency transaction risks, and volatility in currency exchange rates might have a material adverse effect on our business, financial condition or results of operations.</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rely on a small number of third-party suppliers and manufacturers, and in certain cases a single-source supplier, and we may be in a position of dependence with respect to these third parties.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own or operate manufacturing facilities and have no current plans to develop our own clinical or commercial-scale manufacturing capabilities. We currently rely, and expect to continue to rely, on a small number of third-party suppliers, and in certain cases a single-source supplier, for the supply of various raw materials and chemical products and clinical batches needed for our preclinical studies and clinical trials. In the case of certain manufactured and clinical supplies, we rely on single-source suppliers. The supply of specific raw materials and products required for conducting clinical trials and manufacturing our products cannot be guaranteed.</w:t>
      </w:r>
    </w:p>
    <w:p>
      <w:pPr>
        <w:spacing w:after="0" w:line="188"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are dependent on third parties for the supply of various materials, including chemical or biological products that are necessary to produce drug candidates for our clinical trials and, ultimately, commercial supply for any of our drug candidates that may receive approval.</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facilities used by our third-party manufacturers must be approved for the manufacture of our drug candidates by the FDA, the EMA and any comparable foreign regulatory authorities in other jurisdictions, pursuant to inspections that will be conducted after we submit an NDA to the FDA, MAA to the EMA, or submit a comparable marketing application to a comparable regulatory authority. We do not control the manufacturing process of, and are completely dependent on, third-party manufacturers for compliance with GMP requirements for manufacture of our drug candidates. If these third-party manufacturers cannot successfully manufacture material that conforms to our specifications and the strict regulatory requirements of any applicable regulatory authority, they will not be able to secure and/or maintain regulatory approval for the use of their manufacturing facilities.</w:t>
      </w:r>
    </w:p>
    <w:p>
      <w:pPr>
        <w:spacing w:after="0" w:line="16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If any regulatory authority does not approve these facilities for the manufacture our drug candidates, or if such authorities withdraw any such approval in the future, we may be required to find alternative manufacturing facilities, which would significantly impact our ability to develop, obtain regulatory approval for or market our drug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operating restrictions and criminal prosecutions, any of which could significantly and adversely affect our financial position.</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GMP or other regulatory requirements could adversely affect our business in a number of ways, including:</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initiate or complete clinical trials of our drug candidates in a timely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subjecting third-party manufacturing facilities to additional inspections by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drug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any drug candidate, an inability to meet commercial demands.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our drug candidates or such quantities at an acceptable cost. Any performance failure on the part of our existing or future manufacturers or suppliers could delay clinical development or marketing approval, and any related remedial measures may be costly or time consuming to implement. We do not currently have second source for all required raw materials used in the manufacture of our drug candidates. If our existing or future third-party manufacturers cannot perform as agreed, we may be required to replace such manufacturers and we may be unable to replace them on a timely basis or at all, which would have a material adverse impact on our financial position.</w:t>
      </w:r>
    </w:p>
    <w:p>
      <w:pPr>
        <w:spacing w:after="0" w:line="285"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7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dependent on third parties to conduct our clinical trials and preclinical studies. Specifically, we rely on, and will continue to rely on, medical institutions, clinical investigators, CROs and consultants to conduct preclinical studies and clinical trials, in each case in accordance with trial protocols and regulatory requirements.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These CROs, investigators and other third parties play a significant role in the conduct and timing of these trials and subsequent collection and analysis of data. Though we expect to carefully manage our relationships with such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we and our CROs are required to comply with stringent standards governing the conduct of preclinical studies and clinical trials, including Good Laboratory Practice (“GLP”) and GCP requirements, which are regulations and guidelines enforced by the FDA and comparable foreign regulatory authorities, for our drug candidates in clinical development. Regulatory authorities enforce GCPs through periodic inspections of trial sponsors, principal investigators and trial sites.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 Furthermore, our clinical trials must be conducted with materials manufactured in accordance with GMP regulations. Failure to comply with these regulations may require us to repeat clinical trials, which would delay the regulatory approval process.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activities that could harm our competitive position.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drug candidates.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assurance that we will not encounter challenges or delays in the future or that these delays or challenges will not have a material adverse impact on our business, financial condition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highly dependent on our management, scientific and medical personnel whose services are critical to our success. Our success depends greatly on the involvement and expertise of our senior executives and qualified scientific staff. While Dr. Philippe Pouletty, MD, our founder and Chairman of our Board since our inception in 2013, resigned from his Chairman position in August 2022, he continues to support our development as a member of our Board as the representative for Truffle Capital. We do not maintain key person insurance. The temporary or permanent unavailability of our management and scientific staff, as well as Dr. Pouletty, could lead to:</w:t>
      </w:r>
    </w:p>
    <w:p>
      <w:pPr>
        <w:spacing w:after="0" w:line="82"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know-how and weakening of certain activities, especially in the case of transfer to the competition;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deficiencies in terms of technical skills that could slow down activity and ultimately impair our ability to reach our objectives.</w:t>
      </w:r>
    </w:p>
    <w:p>
      <w:pPr>
        <w:spacing w:after="0" w:line="225"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Recruiting and retaining additional qualified management and scientific, clinical, manufacturing and sales and marketing personnel will also be critical to our success, particularly as we expand in order to acquire additional skills, such as manufacturing, quality assurance and regulatory and medical affairs. The loss of the services of our senior management team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candidates. Competition to hire from this limited pool is intense, and we may be unable to hire, train, retain or motivate these key personnel on acceptable terms given the competition among numerous pharmaceutical and biotechnology companies for similar personnel.</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also experience intense competition for the hiring of scientific and clinical personnel from other companies, universities and research institutions. We may not be able to attract or retain qualified management and scientific personnel in the future due to intense competition for a limited number of qualified personnel. Many of those that compete with us for qualified personnel have greater financial and other resources, different risk profiles and a longer history in the industry than we do. Our competitors may also provide more diverse opportunities and better chances for career advancement. An inability to attract and retain high quality personnel will have a material adverse effect on our business, prospects, financial condition, cash flow or results of operations.</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the marketing and production of our drugs could be delayed or prevented, which could, in turn, have a material adverse effect on our business, prospects, financial condition, cash flows or results of operations.</w:t>
      </w:r>
    </w:p>
    <w:p>
      <w:pPr>
        <w:spacing w:after="0" w:line="29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are exposed to the risk of fraud or other misconduct by our employees, principal investigators, consultants and commercial partners. Misconduct by these parties could include intentional failures, reckless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9" w:right="5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or negligent conduct or unauthorized activity that violates (i) the laws and regulations of the European Economic Area (“EEA”) countries, the European Commission, FDA and other regulatory authorities, including those laws requiring the reporting of true, complete and accurate information to such authorities, (ii) manufacturing standards, (iii) federal and state data privacy, security, fraud and abuse and other healthcare laws and regulations in Europe, the United States and elsewhere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infrastructure in market access, sales, marketing and distribution.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lack infrastructure and resources in the fields of sales, marketing and distribution. We need to develop our own marketing and sales capacity, either alone or with partners once marketing authorizations have been obtained. As part of setting up our sales and marketing infrastructure, we will need to incur additional expenses, mobilize management resources, implement new skills and take the time necessary to set up the appropriate organization and structure to support the products in accordance with current legislation and, more generally, optimize commercialization efforts. We compete with many companies that currently have extensive, experienced and well-funded market access, marketing and sales operations to recruit, hire, train and retain marketing and sales personnel, and will have to compete with those companies to recruit, hire, train and retain any of our own market access, marketing and sales personnel. If we are unable to expand our sales and marketing team, we may be unable to compete successfully against these more established companies.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drug candidates that receive regulatory approval or any such commercialization may experience delays or limitations. Factors that may inhibit our efforts to build a sales, marketing and distribution organization:</w:t>
      </w:r>
    </w:p>
    <w:p>
      <w:pPr>
        <w:spacing w:after="0" w:line="79"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educate physicians about patients for whom our drug candidates may be appropriate treatment options and attain adequate numbers of physicians to prescribe any drugs;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numerous competitors in the market for therapeutic treatments of inflammatory diseases.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significant and rapid technological change as researchers learn more about diseases and develop new technologies and treatments. Many pharmaceutical companies, biotech companies, institutions, universities and other research organizations are actively engaged in the research, discovery, development and commercialization of therapeutic responses for the treatment of the diseases targeted by us. Significant competitive factors in our industry include: (i) product efficacy and safety; (ii) quality and breadth of an organization’s technology; (iii) skill of an organization’s employees and its ability to recruit and retain key employees; (iv) timing and scope of regulatory approvals; (v) government reimbursement rates for, and the average selling price of, pharmaceutical products; (vi) the availability of raw materials and qualified manufacturing capacity; (vii) manufacturing costs; (viii) intellectual property and patent rights and their protection; and (ix) sales and marketing capabilities. Given the intense competition in our industry, we cannot assure you that any of the products that we successfully develop will be clinically superior or scientifically preferable to products developed or introduced by our competitors. In addition, significant delays in the development of our drug candidates could allow our competitors to succeed in obtaining European Commission, FDA, PMDA or other regulatory approvals for their drug candidates more rapidly than us, which could place us at a significant competitive disadvantage or deny us marketing exclusivity rights.</w:t>
      </w:r>
    </w:p>
    <w:p>
      <w:pPr>
        <w:spacing w:after="0" w:line="17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competitors in the chronic inflammatory disease field are primarily large pharmaceuticals companies including, but not limited to AbbVie, Pfizer, Eli Lilly, Takeda and Johnson &amp; Johnson.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 See “Business—Competition.”</w:t>
      </w:r>
    </w:p>
    <w:p>
      <w:pPr>
        <w:spacing w:after="0" w:line="17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Further, our competitors may be more effective at using their technologies to develop commercial products. Many of the organizations competing with us have significantly greater financial resources and expertise in research and development, manufacturing, preclinical studies, conducting clinical trials, obtaining regulatory approvals and marketing. Mergers and acquisitions in the pharmaceutical and biotechnology industries may result in even more resources being concentrated among a smaller number of our competitors. Smaller or early-stage companies may also prove to be significant competitors, particularly through partnership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development potential in the markets in which we operate is such that the arrival of new competition is probable. New market entrants, increased competition in specific areas, or in general, would have a material adverse effect on our business, income, financial position and outlook for growth.</w:t>
      </w:r>
    </w:p>
    <w:p>
      <w:pPr>
        <w:spacing w:after="0" w:line="292"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We depend on, and will continue to depend on, collaboration and strategic alliances with third partners. To the extent we are able to enter into collaborative arrangements or strategic alliances, we will be exposed to risks related to those collaborations and alliances.</w:t>
      </w:r>
    </w:p>
    <w:p>
      <w:pPr>
        <w:spacing w:after="0" w:line="1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An important element of our strategy for developing, manufacturing and commercializing our drug candidates is entering into partnerships and strategic alliances with other pharmaceutical companies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industry participants. The collaboration agreements that we have established, and any collaboration arrangements that we may enter into in the future, may not be successful, which would have a negative impact on our business, results of operations, financial condition and growth prospects.</w:t>
      </w:r>
    </w:p>
    <w:p>
      <w:pPr>
        <w:spacing w:after="0" w:line="12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Any partnerships or alliance we have or may have in the future may be terminated for reasons beyond our control or we may not be able to negotiate future alliances on acceptable terms, if at all. These arrangements may result in us receiving less revenue than if we sold our products directly, may place the development, sales and marketing of our products outside of our control, may require us to relinquish important rights or may otherwise be on unfavorable terms. Collaborative arrangements or strategic alliances will also subject us to a number of risks, including the risk that:</w:t>
      </w:r>
    </w:p>
    <w:p>
      <w:pPr>
        <w:spacing w:after="0" w:line="63" w:lineRule="exact"/>
        <w:rPr>
          <w:sz w:val="20"/>
          <w:szCs w:val="20"/>
          <w:color w:val="auto"/>
        </w:rPr>
      </w:pPr>
    </w:p>
    <w:p>
      <w:pPr>
        <w:ind w:left="1080" w:right="8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partner/collaborators may devote to the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partner/collaborators may experience financial difficulties;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to successfully collaborate with third parties may delay, prevent or otherwise impair the development or commercialization of our drug candidates or revenue expectations;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products being developed by partners/collaborators may never reach commercial stage resulting in reduced or even no milestone or royalty payments;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their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product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drug candidates.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partnerships and licensing agreements relating to the technologies belonging to us may not be successful.</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The various drug candidates developed by us arise from proprietary or licensed technologies with leading academic partners, including Scripps Research Institute, University of Chicago, Brigham Young University, the Montpellier Institute of Molecular Genetics at the </w:t>
      </w:r>
      <w:r>
        <w:rPr>
          <w:rFonts w:ascii="Arial" w:cs="Arial" w:eastAsia="Arial" w:hAnsi="Arial"/>
          <w:sz w:val="17"/>
          <w:szCs w:val="17"/>
          <w:i w:val="1"/>
          <w:iCs w:val="1"/>
          <w:color w:val="auto"/>
        </w:rPr>
        <w:t>Centre National de la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Recherche Scientifique </w:t>
      </w:r>
      <w:r>
        <w:rPr>
          <w:rFonts w:ascii="Arial" w:cs="Arial" w:eastAsia="Arial" w:hAnsi="Arial"/>
          <w:sz w:val="17"/>
          <w:szCs w:val="17"/>
          <w:color w:val="auto"/>
        </w:rPr>
        <w:t>(“CNRS”) and the</w:t>
      </w:r>
      <w:r>
        <w:rPr>
          <w:rFonts w:ascii="Arial" w:cs="Arial" w:eastAsia="Arial" w:hAnsi="Arial"/>
          <w:sz w:val="17"/>
          <w:szCs w:val="17"/>
          <w:i w:val="1"/>
          <w:iCs w:val="1"/>
          <w:color w:val="auto"/>
        </w:rPr>
        <w:t xml:space="preserve"> Institut Curie</w:t>
      </w:r>
      <w:r>
        <w:rPr>
          <w:rFonts w:ascii="Arial" w:cs="Arial" w:eastAsia="Arial" w:hAnsi="Arial"/>
          <w:sz w:val="17"/>
          <w:szCs w:val="17"/>
          <w:color w:val="auto"/>
        </w:rPr>
        <w:t>. If the clinical trials conducted by us were to reveal safety and/or therapeutic efficacy problems</w:t>
      </w:r>
      <w:r>
        <w:rPr>
          <w:rFonts w:ascii="Arial" w:cs="Arial" w:eastAsia="Arial" w:hAnsi="Arial"/>
          <w:sz w:val="17"/>
          <w:szCs w:val="17"/>
          <w:i w:val="1"/>
          <w:iCs w:val="1"/>
          <w:color w:val="auto"/>
        </w:rPr>
        <w:t xml:space="preserve"> </w:t>
      </w:r>
      <w:r>
        <w:rPr>
          <w:rFonts w:ascii="Arial" w:cs="Arial" w:eastAsia="Arial" w:hAnsi="Arial"/>
          <w:sz w:val="17"/>
          <w:szCs w:val="17"/>
          <w:color w:val="auto"/>
        </w:rPr>
        <w:t>or if the use of one of the platforms were to violate an intellectual property right held by a third party, this could threaten the use and operation of some of our technology platforms and require additional research and development efforts and additional time and expense to address these difficulties, with success not being guaranteed. The development of a portion of our product portfolio would be affected, which would have a material adverse effect on our business, outlook, growth, financial position and income.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reimbursement of drugs and treatments is beyond our control.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achieving regulatory authorization and once marketing authorization is granted, the process of setting the sales price of drugs and their reimbursement rates begins. The conditions for setting the sales price and reimbursement rate for drugs are beyond the control of pharmaceutical companies. They are decided by competent public committees and bodies and by social security or private insurance companies. In this context, we or our partners could be asked to perform additional studies on our products. These studies could generate additional costs for us or our partners and lead to delays in marketing the drug, which could have an impact on our financial position.</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There is significant uncertainty related to the reimbursement of newly-approved drugs. The level of reimbursement will impact market acceptance and sale of our drug candidates. Reimbursement by a third-party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dependent on a number of factors, including, without limitation, the third-party payor’s determination that use of a product is:</w:t>
      </w:r>
    </w:p>
    <w:p>
      <w:pPr>
        <w:spacing w:after="0" w:line="13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possibility that we could receive royalties from our industrial partner or partners on the sale of some of our products and our ability to make sufficient profits on the marketing of our treatments or those for which we have entered into distribution contracts will depend on these reimbursement conditions. If delays in the price negotiation procedure result in a significant delay in marketing, if our product does not obtain an appropriate level of reimbursement, or if the accepted price level and reimbursement rate of the treatments we market are changed, our profitability will be reduced.</w:t>
      </w:r>
    </w:p>
    <w:p>
      <w:pPr>
        <w:spacing w:after="0" w:line="15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are also unable to guarantee that we will succeed in maintaining, over time, the price level of our products or those for which licenses have been granted, or the accepted reimbursement rate. Under these conditions, there could be a material adverse effect on our business, financial position and results of operations.</w:t>
      </w:r>
    </w:p>
    <w:p>
      <w:pPr>
        <w:spacing w:after="0" w:line="292"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newly-approved products is uncertain. Failure to obtain or maintain adequate coverage and reimbursement for our drug candidates, if approved, could limit our ability to market those products and decrease our ability to generate product revenue.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Successful sales of our drug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drug candidates for which we obtain regulatory approval.</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United States, no uniform policy for coverage and reimbursement exists, and coverage and reimbursement for drug products can differ significantly from payor to payor. Therefore, one payor’s determination to provide coverage for a drug product does not assure that other payors will also provide coverage for the drug product. Third-party payors often follow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Moreover,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Additionally, we or our collaborators may develop companion diagnostic tests for use with our drug candidates. We or our collaborators will be required to obtain coverage and reimbursement for these tests separate and apart from the coverage and reimbursement we seek for our drug candidates, once approved. Similar challenges to obtaining coverage and reimbursement, applicable to pharmaceutical or biological products, will apply to companion diagnostics. Our inability to promptly obtain coverage and adequate reimbursement from both third-party payors for the drug candidates and companion diagnostic tests that we or our collaborators develop and for which we obtain regulatory approval could have a material and adverse effect on our business, financial condition, results of operations and prospects.</w:t>
      </w:r>
    </w:p>
    <w:p>
      <w:pPr>
        <w:spacing w:after="0" w:line="178"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 and prices are usually revised periodically, such that any given price may decrease upon various occurrences.</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the containment of healthcare costs has become a priority of federal and state governments, and the prices of drugs have been a focus of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Price controls may be imposed in markets in which we operate, which may negatively affect our future profitability.</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 set at unsatisfactory levels, there could be a material adverse effect on our business, financial condition or results of operations.</w:t>
      </w:r>
    </w:p>
    <w:p>
      <w:pPr>
        <w:spacing w:after="0" w:line="2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COVID-19 pandemic has been highly disruptive to our business, industry and in general. An outbreak of other communicable diseases around the world may cause further disruption.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public health outbreak may cause any of the following:</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recruiting patients for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launching clinical trial sites, including difficulties in recruiting investigators and clinical site staff; and</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health care resources from the conduct of clinical trials, of hospital staff supporting the conduct of clinical trials.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to the risks listed above, and as part of our clinical trials in countries in pandemic zones, we may also experience the following adverse effects:</w:t>
      </w:r>
    </w:p>
    <w:p>
      <w:pPr>
        <w:spacing w:after="0" w:line="76" w:lineRule="exact"/>
        <w:rPr>
          <w:sz w:val="20"/>
          <w:szCs w:val="20"/>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delays in the conduct of our research and preclinical studies, preventing research and preclinical studies from being conducted as planned;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obtaining authorizations from the administrative and regulatory authorities required to launch the planned preclinical studies and clinical trials;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the receipt of supplies and equipment necessary for the completion of our research activities and our preclinical studies and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 or delays affecting the activity of contractors who provide research services to us;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of the competent regulatory authorities to accept data from clinical trials conducted in the geographical areas affected by the pandemic;</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interruption of global maritime trade could affect the transportation of research materials for preclinical studies and clinical trials, such as experimental drugs and comparator drugs used in our clinical trials;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the necessary interactions with local authorities, ethics committees or other important and third-party co-contracting bodies due to limitations in human resources or forced leave of state employees.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one or more of the above risks were to materialize, the planned and ongoing clinical trials and, therefore, the publication of the data and results of these studies and all subsequent steps leading to the commercialization of drug candidates being studied, could be significantly delayed. Such a situation could have a material adverse effect on our business, income, financial position and growth.</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extent to which the outbreak of communicable diseases around the world may impact our activity and clinical trials will depend on future developments, which cannot be predicted with certainty, such as the emergence of diseases that may be resistant to the vaccines or treatments currently available, access to vaccines and treatments for the various populations worldwide, the final geographical spread of the disease, its duration, travel restrictions and social distancing measures in the European Union, the United States and other countries, business closures or disruptions, and the effectiveness of measures taken in those countries to contain and treat the disease. There can be no assurance that the outbreak of communicable diseases around the world will not result in an adverse effect on financial markets, our share price and our ability to obtain finance.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war between Ukraine and Russia may affect our business, industry and the markets in which we operate.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around the world.</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Given these developments, we have decided not to include Russia and Belarus in our global Phase 3 program for obefazimod in UC. However, the global scale of this conflict cannot be predicted at this stage. We, therefore, cannot rule out an adverse impact of this conflict on our business, including in terms of access to raw materials, logistics, the performance of clinical trials and in relation to any future financing we may seek.</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Phase 2b maintenance trial of obefazimod in moderately to severely active UC is our only clinical trial currently in progress in Ukraine. We have, however, terminated a few trial sites since the Russia/Ukraine war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We are also evaluating the possibility to include a few Ukrainian sites in the western part of Ukraine in the ABTECT Phase 3 clinical trials.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ability to exclusively commercialize our drug candidates may decrease if we are unable to protect our intellectual property rights or if these rights are insufficient for our purposes.</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commercial success depends in part on our ability and the ability of our partners to obtain, maintain and ensure, against third parties, the protection of our patents, trademarks and related applications and other intellectual property rights or similar rights (such as trade secrets, business secrets and know-how) or those we are authorized to use in the course of our business in Europe, the United States, Asia and other key countries. We dedicate substantial financial and human resources to this and intend to continue our policy of protection through new patent applications as soon as we deem it appropriate.</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technology is currently protected by patents and patent applications that we have filed or for which we have an exclusive license. However, we or our partners might not be able to maintain the protection of our intellectual property rights and we could, thereby, lose our technological and competitive advantage in whole or in part.</w:t>
      </w:r>
    </w:p>
    <w:p>
      <w:pPr>
        <w:spacing w:after="0" w:line="184"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Firstly, our intellectual property rights and those of our partners offer protection for a period that may vary from one territory to another. The term of individual patents depends upon the legal term of the patents in the countries in which they are obtained. In most countries in which we have obtained or are seeking patent protection for our drug candidates, the patent term is 20 years from the earliest filing date of a non-provisional patent application.</w:t>
      </w:r>
    </w:p>
    <w:p>
      <w:pPr>
        <w:spacing w:after="0" w:line="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the United States, the term of a patent may be lengthened by a patent term adjustment, which provides for term extension in the case of administrative delays at the United States Patent and Trademark Office (“USPTO”) in granting a patent, or may be shortened if a patent is terminally disclaimed over another patent with an earlier expiration date. Furthermore, in the United States, the term of a patent covering an FDA approved drug may be eligible for a patent term extension under the Hatch-Waxman Amendments as compensation for the loss of patent term during the FDA regulatory review process. The period of extension may be up to five years beyond the expiration of the patent but cannot extend the term of a patent beyond a total of 14 years from the date of product approval. Only one patent covering a single FDA-approved product among those eligible for an extension may be extended. In the future, if any of our drug candidates receives FDA approval, we expect to apply for a patent term extension, if available, to extend the term of the patent covering such approved drug product. In France and the rest of Europe generally, the term of a patent is 20 years from the date the patent application is filed, with the understanding that this period may be extended up to another five years if a supplementary protection certificate is filed and an additional six months if a pediatric investigation plan is applied. We expect to seek patent term extensions in any jurisdictions where they are available, however, there is no guarantee that the applicable authorities, including the FDA, will agree with our assessment of whether such an extension should be granted, and even if granted, the length of such an extension.</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Secondly, we and our partners could encounter difficulties in the filing or examination of some of our patent, trademark or other intellectual property rights applications currently being examined/registered. During the patent application process, we may receive Office Actions from the USPTO or from comparable agencies in foreign jurisdictions rejecting the claims of the patent application. Although we would be given an opportunity to respond to those objections, we may be unable to overcome such rejections. At the time a patent application is filed, there may be other patents that could constitute opposable prior art that may have not yet been published. Despite prior art searches and monitoring, we cannot be certain that we are the first to conceive of an invention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and file a patent application relating thereto; in particular, it should be noted that in most countries, the publication of patent applications takes place 18 months after the earliest priority date of patent filing, or in some cases not at all, and that discoveries are sometimes only the subject of publication or patent application months or even years later. Likewise, when filing one of our trademarks in a country where it is not covered, we could find that the trademark in question is not available in that country. A new trademark would then need to be sought for the country in question or an agreement negotiated with the prior holder of the trademark. We may not be able to prevent a disclosure of information to third parties that could have an impact on our future intellectual property rights. Therefore, it is in no way certain that our current and future applications for patents, trademarks and other intellectual property rights will result in registrations.</w:t>
      </w:r>
    </w:p>
    <w:p>
      <w:pPr>
        <w:spacing w:after="0" w:line="19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Thirdly, the simple granting or registration of a patent, trademark or other intellectual property right does not guarantee validity or enforceability. Our competitors may at any time contest the validity or enforceability of our or our partners’ patents, trademarks or applications relating thereto before a court or in the context of other specific procedures which, depending on the outcome of such disputes, could reduce their scope, result in their invalidation or allow them to be circumvented by competitors. In addition, developments, changes or divergences in the interpretation of the legal framework governing intellectual property in Europe, the United States or other countries could allow competitors to use our or our partners’ inventions or intellectual property rights to develop or market our products or technologies without financial compensation. Moreover, there are still certain countries that do not protect intellectual property rights in the same way as in Europe and the United States, and the effective procedures and rules necessary to ensure the defense of our rights may not exist in these countries. There is therefore no certainty that our existing and future patents, trademarks and other intellectual property rights will not be disputed, invalidated or circumvented, or that they will provide effective protection against competition.</w:t>
      </w:r>
    </w:p>
    <w:p>
      <w:pPr>
        <w:spacing w:after="0" w:line="19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Consequently, our rights to our owned or licensed patents, trademarks and related applications and other intellectual property rights may not confer the protection expected against competition. We therefore cannot guarantee with certainty that:</w:t>
      </w:r>
    </w:p>
    <w:p>
      <w:pPr>
        <w:spacing w:after="0" w:line="7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be able to develop novel inventions for which a patent could be filed or issued;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applications for patents and other property rights currently under review will actually result in the granting of patents, trademarks or other registered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patents or other intellectual property rights granted to us or our partners will not be contested, invalidated or circumvented; or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protection conferred by our or our partners’ patents, trademarks and intellectual property rights is and will remain sufficient to protect us against competition.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Were these eventualities to occur, they could have a material adverse effect on our business and growth.</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In addition, third parties (or even our employees) could use or attempt to use elements of our technologies protected by an intellectual property right, which would create a detrimental situation for us. We may therefore be compelled to bring legal or administrative proceedings against these third parties in order to enforce our intellectual property rights (patents, trademarks, designs and models or domain names) in court.</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Enforcing a claim that a party illegally infringed or misappropriated our intellectual property is difficult, expensive and time-consuming, and the outcome is unpredictable. Any litigation or dispute, regardless of the outcome, could lead to substantial costs, affect our reputation, negatively influence our income and financial position and possibly not lead to the desired protection or sanction. Some competitors with more substantial resources than us may be able to bear the costs of litigation more easily.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rights that are important to our business.</w:t>
      </w:r>
    </w:p>
    <w:p>
      <w:pPr>
        <w:spacing w:after="0" w:line="1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Our ability to pursue the development of some of our drug-based candidates depends on the maintenance in force of the licensing agreements entered into with various institutes. We have licenses granted by the CNRS, the University of Montpellier and/or the </w:t>
      </w:r>
      <w:r>
        <w:rPr>
          <w:rFonts w:ascii="Arial" w:cs="Arial" w:eastAsia="Arial" w:hAnsi="Arial"/>
          <w:sz w:val="18"/>
          <w:szCs w:val="18"/>
          <w:i w:val="1"/>
          <w:iCs w:val="1"/>
          <w:color w:val="auto"/>
        </w:rPr>
        <w:t>Institut Curie</w:t>
      </w:r>
      <w:r>
        <w:rPr>
          <w:rFonts w:ascii="Arial" w:cs="Arial" w:eastAsia="Arial" w:hAnsi="Arial"/>
          <w:sz w:val="18"/>
          <w:szCs w:val="18"/>
          <w:color w:val="auto"/>
        </w:rPr>
        <w:t xml:space="preserve"> for certain patents or patent co-ownership rights resulting from cooperation with the CNRS, the University of Montpellier and the </w:t>
      </w:r>
      <w:r>
        <w:rPr>
          <w:rFonts w:ascii="Arial" w:cs="Arial" w:eastAsia="Arial" w:hAnsi="Arial"/>
          <w:sz w:val="18"/>
          <w:szCs w:val="18"/>
          <w:i w:val="1"/>
          <w:iCs w:val="1"/>
          <w:color w:val="auto"/>
        </w:rPr>
        <w:t>Institut Curie</w:t>
      </w:r>
      <w:r>
        <w:rPr>
          <w:rFonts w:ascii="Arial" w:cs="Arial" w:eastAsia="Arial" w:hAnsi="Arial"/>
          <w:sz w:val="18"/>
          <w:szCs w:val="18"/>
          <w:color w:val="auto"/>
        </w:rPr>
        <w:t>, which allowed obefazimod to be developed and a chemical library of more than 2,200 small molecules to be generated.</w:t>
      </w:r>
    </w:p>
    <w:p>
      <w:pPr>
        <w:spacing w:after="0" w:line="18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These license contracts provide the possibility for the licensor to end an agreed exclusivity or terminate the contracts in certain events, including the event of non-payment of fees, a dispute over the validity of the patents licensed or a violation by us of our obligations.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from time to time be party to license or collaboration agreements with third parties to advance our research or allow commercialization of current or future drug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Any termination of these licenses, or if the underlying licensed rights fail to provide the intended exclusivity, could result in the loss of significant rights and could harm our ability to commercialize our current or future drug candidates, and competitors or other third parties would have the freedom to seek regulatory approval of, and to market, products identical to ours and we may be required to cease our development and commercialization of certain of our current or future drug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drug candidates, and what activities satisfy those diligence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adverse resolution of any contract interpretation disagreement that may arise could narrow what we believe to be the scope of our rights to the relevant intellectual property or technology or increase what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believe to be our financial or other obligations under the relevant agreement, either of which could have a material adverse effect on our business, financial condition, results of operations and prospects. Moreover, if disputes over intellectual property that we have licensed or may license prevent or impair our ability to maintain future licensing arrangements on acceptable terms, we may be unable to successfully develop and commercialize the affected current or future drug candidates, which could have a material adverse effect on our business, financial conditions, results of operations and prospects.</w:t>
      </w:r>
    </w:p>
    <w:p>
      <w:pPr>
        <w:spacing w:after="0" w:line="29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be sued for infringing or misappropriating the intellectual property rights of third parties, and if we are, such litigation could be costly and time consuming and could prevent or delay us from developing or commercializing our drug candidates.</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commercial success will also depend on our ability to develop products and technologies that do not infringe the patents or other rights of third parties. It is important for the success of our business that we are able to use our products and conduct research and development efforts leading to commercialization of our products without infringing patents or other third-party rights.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continue to carry out, as we have done to date, the preliminary studies that we consider necessary in view of the above risks, before investing in the development of our various products and technologies. With the help of intellectual property consulting and law firms, we monitor our competitors’ activity (particularly with respect to patent filings).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therefore cannot guarantee with certainty that:</w:t>
      </w:r>
    </w:p>
    <w:p>
      <w:pPr>
        <w:spacing w:after="0" w:line="131" w:lineRule="exact"/>
        <w:rPr>
          <w:sz w:val="20"/>
          <w:szCs w:val="20"/>
          <w:color w:val="auto"/>
        </w:rPr>
      </w:pPr>
    </w:p>
    <w:p>
      <w:pPr>
        <w:ind w:left="1080" w:right="2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prior patents or other intellectual property rights of third parties covering certain of our products, methods, technologies, results or activities and that, consequently, third parties might bring an action for infringement or violation of their rights against us with a view to obtaining damages and interest and/or the cessation of our activities in the manufacture and/or commercialization of products, methods and the like thus disputed;</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trademark rights or other prior rights of third parties that could be the basis of an infringement or liability action against us;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domain names are not subject, on the part of third parties who have prior rights (for example trademark rights), to a Uniform Domain-Name Dispute-Resolution Policy (“UDRP”) or similar policy, or an infringement 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intellectual property litigation, we may have to:</w:t>
      </w:r>
    </w:p>
    <w:p>
      <w:pPr>
        <w:spacing w:after="0" w:line="131"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stop developing, making, selling, offering for sale or using the product or products that depended on the disputed intellectual property;</w:t>
      </w:r>
    </w:p>
    <w:p>
      <w:pPr>
        <w:spacing w:after="0" w:line="153"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a license from the holder of the intellectual property rights, however, such a license may be unobtainable or only be obtainable under unfavorable economic conditions for us; or</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revise the design of some of our products/technologies or, in the case of trademark applications, rename our products to avoid infringing the intellectual property rights of third parties, which may prove impossible or time-consuming and expensive, and could impact our marketing efforts.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Litigation can also result in an order to pay damages (including treble damages) and being subject to injunctions.</w:t>
      </w:r>
    </w:p>
    <w:p>
      <w:pPr>
        <w:spacing w:after="0" w:line="33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drugs for an adequate amount of time, and we may seek to rely, but may not be able to rely, on other forms of protection, such as regulatory exclusivity.</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Given the amount of time required for the development, testing and regulatory review of new drug candidates, patents protecting such candidates might expire before or shortly after such candidates 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9" w:right="5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commercialized. For example, the certain patents protecting obefazimod’s composition of matter expire in 2030 and the certain patents protecting obefazimod methods of use expire in 2035 which pose a risk to its successful commercialization.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also seek to rely on other forms of protection, such as regulatory exclusivity, but there can be no assurance that such other forms of protection will be available or sufficient.</w:t>
      </w:r>
    </w:p>
    <w:p>
      <w:pPr>
        <w:spacing w:after="0" w:line="27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Filing, prosecuting and defending patents on our drug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drugs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the laws of some foreign countries do not protect intellectual property rights to the same extent as the federal and state laws in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In addition, changes in the law and legal decisions by courts in the United States and foreign countries may affect our ability to obtain adequate protection for our technology and the enforcement of our intellectual property. In addition, monitoring the unauthorized use of our products and technology and the infringement of our intellectual property rights is challenging. We cannot guarantee with certainty that we will be able to prevent, take legal action against and obtain compensation for infringement, misappropriation or unauthorized use of our products and technologies, particularly in foreign countries where our rights are less well protected because of the territorial scope of intellectual property rights. Accordingly, our efforts to enforce our intellectual property rights around the world may be inadequate to obtain a significant commercial advantage from the intellectual property that we develop or license.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302"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by us or our partners that develop trademarks for our future products, then we may not be able to build name or brand recognition in our markets of interest, and our business may be adversely affected.</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registered or unregistered trademarks and trade names and the registered or unregistered trademarks and trade names that our partners will develop may be challenged, infringed, diluted, circumvented or declared generic or determined to be infringing on other marks. We and our partners may not be able to protect our rights to these trademarks and trade names, which we need to build name and brand recognition among potential partners or customers in our markets of interest. We expect to rely on our partners to protect the trade names and trademarks that they will develop, and they may not adequately protect such tradenames and trademarks, and we may have little or no recourse in respect thereof. At times, competitors may adopt trademarks and trade names similar to ours, thereby impeding our ability to build brand identity and possibly leading to market confusion.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In addition, there could be potential trademark infringement claims brought by owners of other registered trademarks or trademarks that incorporate variations of our registered or unregistered trademarks. Over the long term, if we are unable to establish name and brand recognition based on our trademarks, then we may not be able to compete effectively and our business may be adversely affected.</w:t>
      </w:r>
    </w:p>
    <w:p>
      <w:pPr>
        <w:spacing w:after="0" w:line="27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 applications are required to be paid to the USPTO and various governmental patent agencies outside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could be harmed.</w:t>
      </w:r>
    </w:p>
    <w:p>
      <w:pPr>
        <w:spacing w:after="0" w:line="14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to seeking patent protection for our drug candidates, we also rely on trade secrets, including unpatented know-how, technology and other proprietary information, to establish and maintain our competitive position.</w:t>
      </w:r>
    </w:p>
    <w:p>
      <w:pPr>
        <w:spacing w:after="0" w:line="170"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It is also important for us to protect against the unauthorized use and disclosure of our confidential information, know-how and trade secrets. Unpatented and/or unpatentable technologies, processes, methods, know-how and data are considered trade secrets that we seek to protect, in part, by entering into non-disclosure and confidentiality agreements with parties who have access to them, such as our employees, collaborators, consultants, advisors, university and/or institutional researchers and other third parties. We also have entered or seek to enter into confidentiality and invention or patent assignment agreements with our employees, advisors and consultants.</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context of collaboration, partnership or research contracts, or other types of cooperation between us and researchers from academic institutions, and with other public or private entities, subcontractors, or any co-contracting third parties, various information and/or products may be entrusted to them in order to conduct certain tests and clinical trials. In such cases, we require that confidentiality agreements be signed. Furthermore, as a general rule, we take care that the collaboration or research contracts that we are party to give us access to full ownership or co-ownership of results and/or inventions resulting from the collaboration, or to an exclusive license based on these results and/or inventions resulting from the collaboration.</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Despite these efforts, counterparties may breach our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and our business may be adversely affected.</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There can be no assurance that the agreements put in place to protect our technology and trade secrets and/or the know-how being used will provide the protection sought or will not be violated, that we will have appropriate solutions for such violations, or that our trade secrets will not be disclosed to or independently developed by our competitors. In the context of contracts that we enter into with third parties, we sometimes take the precaution of providing that they are not authorized to use third-party services or that they may only do so with our prior approval. However, it cannot be ruled out that some of these co-contractors may nevertheless use third parties. In this event, we have no control over the conditions under which third parties with which we do not contract protect their confidential information, irrespective of whether we provide in our agreements with our co-contractors that they undertake to pass on confidentiality obligations to their own co-contractors.</w:t>
      </w:r>
    </w:p>
    <w:p>
      <w:pPr>
        <w:spacing w:after="0" w:line="17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Such contracts therefore expose us to the risk of having the third parties concerned (i) claim the benefit of intellectual property rights on our inventions or other intellectual property rights, (ii) fail to ensure the confidentiality of unpatented innovations or improvements of our confidential information and know-how,</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hanging="4"/>
        <w:spacing w:after="0" w:line="277" w:lineRule="auto"/>
        <w:tabs>
          <w:tab w:leader="none" w:pos="4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 our trade secrets to our competitors or independently develop these trade secrets and/or (iv) violate such agreements, without our having an appropriate solution for such violations.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Consequently, our rights to our confidential information, trade secrets and know-how may not confer the expected protection against competition and we cannot guarantee with certainty that:</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knowledge and trade secrets will not be obtained, stolen, circumvented, transmitted or used without our authorization;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competitors have not already developed similar technologies or products, or ones similar in nature or purpose to ours;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co-contracting party will claim the benefit of all or part of the intellectual property rights relating to inventions, knowledge or results that we hold in our own right or in co-ownership, or for which we would be entitled to a license; or</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employees will not claim rights or payment of additional compensation or fair price for inventions in the creation of which they participated.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occurrence of one or more of these risks could have a material adverse effect on our business, outlook, financial position, income and growth.</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cyber risks.</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are dependent upon the availability, capacity, reliability and security of our information technology infrastructure to conduct daily operations. We depend on various information technology systems to process and record financial data, research data and confidential information, process clinical data, manage financial resources and communicate with employees and third parties. In particular, we store information about drug candidates, which is critical to our research and development, on our computer systems.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Third parties on which we rely have in the past been affected by cyberattacks and may in the future fail, or are perceived to have failed, to maintain sufficient cyber-security safeguards, which could compromise data they hold on our behalf. If our suppliers or other third parties we collaborate with suffer from cyberattacks or cybersecurity breaches,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we maintain industry-standard backups and procedures, we are at risk of financial loss, reputational damage and general disruption from a failure of our information technology infrastructure or an attack for the purposes of espionage, extortion, terrorism or to cause embarrassment. Any failure of, or attack against, our information technology infrastructure may be difficult to prevent or detect, and our internal policies to mitigate these risks may be inadequate or ineffective. We may not be able to recover any losses that may arise from such a failure or attack, which could have a material adverse effect on our business, outlook, financial position, income and growth.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our competitive advantage.</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Competitors may be able to formulate compositions that are similar to ours but that are not covered by our intellectual property rights.</w:t>
      </w:r>
    </w:p>
    <w:p>
      <w:pPr>
        <w:spacing w:after="0" w:line="142" w:lineRule="exact"/>
        <w:rPr>
          <w:rFonts w:ascii="Arial" w:cs="Arial" w:eastAsia="Arial" w:hAnsi="Arial"/>
          <w:sz w:val="17"/>
          <w:szCs w:val="17"/>
          <w:color w:val="auto"/>
        </w:rPr>
      </w:pPr>
    </w:p>
    <w:p>
      <w:pPr>
        <w:ind w:left="1080" w:right="8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Competitors may independently develop similar or alternative compositions or otherwise circumvent any of our applications or registrations without infringing our intellectual property rights.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any of our collaboration partners might not have been the first to conceive and reduce to practice the inventions covered by the patents or patent applications that we own, license or will own or license.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any of our collaboration partners might not have been the first to file patent applications covering certain of the patents or patent applications that we or they own or have licensed, or will own or will have licensed.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possible that any pending patent applications that we have filed, or will file, will not lead to issued patents.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Ownership of our patents or patent applications may be challenged by third parties.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infringe on the patents of third parties or pending or future applications of third parties, if issued, and the patents of third parties or pending or future applications of third parties, if issued, may have an adverse effect on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Compliance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a restrictive and changing regulatory framework.</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One of the major issues for a growing company like ours is to successfully develop, alone or with the help of partners, products incorporating our technologies in an increasingly restrictive regulatory environment. The pharmaceutical industry faces constant changes in its legal and regulatory environment and increased oversight by the competent authorities, such as the National Agency for Medicines and Health Products Safety (“ANSM”) in France, the EMA in the European Union, the FDA in the United States or the PMDA in Japan, and other regulatory authorities in the rest of the world. At the same time, the public is demanding more guarantees regarding drug safety and efficacy. This may at any time lead to a more restrictive regulatory environment for our drug candidates which may have a material adverse effect on business, financial position, income, growth and outlook.</w:t>
      </w:r>
    </w:p>
    <w:p>
      <w:pPr>
        <w:spacing w:after="0" w:line="164"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Health authorities oversee research and development, preclinical studies, clinical trials, the regulation of pharmaceutical companies, and drug manufacturing and commercialization. This increasing stringency of the legislative and regulatory framework is common worldwide; however, requirements may vary from country to country. In particular, health authorities, especially the ANSM, EMA, FDA and PMDA, have imposed increasingly burdensome requirements in terms of the volume of data required to demonstrate the efficacy and safety of a product. These increased requirements may have thus reduced the number of products authorized in comparison to the number of applications filed. Products on the market are also subject to regular reassessment of the risk/benefit ratio after their authorization. The delayed discovery of problems not identified at the research stage can lead to marketing restrictions, suspension or withdrawal of the product, and to an increased risk of litigation.</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Therefore, the authorization process is long and expensive; it can take many years and the result is not predictable. Insofar as new legal or regulatory provisions would result in an increase in the cost of obtaining and maintaining product marketing authorizations or limit the targeted indications for a product that a product targets or the economic value of a new product to its inventor, the growth prospects for the pharmaceutical industry, and us, could be reduced. If we experience delays completing, or if we terminate, any of our clinical trials, or if we are required to conduct additional clinical trials, the commercial prospects for our drug candidates may be harmed and our ability to generate product revenue will be delayed. The occurrence of one or more of these risks could have a material adverse effect on our business, outlook, financial position, income and growth.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We are subject to healthcare laws and regulations which may require substantial compliance efforts and could expose us to criminal sanctions, civil and administrative penalties, contractual damages, reputational harm and diminished profits and future earnings, among other penalties.</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Healthcare providers, including physicians, and others will play a primary role in the recommendation and prescription of our products, if approved. Our arrangements with such persons and third-party payors and our general business operations will expose us to broadly applicable fraud and abuse and other healthcare laws and regulations that may constrain the business or financial arrangements and relationships through which we research, market, sell and distribute our drugs, if we obtain marketing approval. Restrictions under applicable U.S. federal, state and foreign healthcare laws and regulations include, but are not limited to, the following:</w:t>
      </w:r>
    </w:p>
    <w:p>
      <w:pPr>
        <w:spacing w:after="0" w:line="93" w:lineRule="exact"/>
        <w:rPr>
          <w:sz w:val="20"/>
          <w:szCs w:val="20"/>
          <w:color w:val="auto"/>
        </w:rPr>
      </w:pPr>
    </w:p>
    <w:p>
      <w:pPr>
        <w:ind w:left="1080" w:hanging="424"/>
        <w:spacing w:after="0" w:line="29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or lease, order or recommendation of, any item, good, facility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80" w:hanging="424"/>
        <w:spacing w:after="0" w:line="270"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(“FCA”), which impose criminal and civil penalties, including those from civil whistleblower or qui tam actions, against individuals or entities for, among other things, knowingly presenting, or causing to be presented, claims for payment that are false or fraudulent or making a false statement to avoid, decrease, or conceal an obligation to pay money to the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and services resulting from a violation of the federal Anti-Kickback Statute constitutes a false or fraudulent claim for purposes of the FCA;</w:t>
      </w:r>
    </w:p>
    <w:p>
      <w:pPr>
        <w:spacing w:after="0" w:line="86" w:lineRule="exact"/>
        <w:rPr>
          <w:rFonts w:ascii="Arial" w:cs="Arial" w:eastAsia="Arial" w:hAnsi="Arial"/>
          <w:sz w:val="17"/>
          <w:szCs w:val="17"/>
          <w:color w:val="auto"/>
        </w:rPr>
      </w:pPr>
    </w:p>
    <w:p>
      <w:pPr>
        <w:ind w:left="1080" w:right="20" w:hanging="424"/>
        <w:spacing w:after="0" w:line="275"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 Similar to the federal Anti-Kickback Statute, a person or entity does not need to have actual knowledge of the healthcare fraud statute implemented under HIPAA or specific intent to violate it in order to have committed a violation;</w:t>
      </w:r>
    </w:p>
    <w:p>
      <w:pPr>
        <w:spacing w:after="0" w:line="81" w:lineRule="exact"/>
        <w:rPr>
          <w:rFonts w:ascii="Arial" w:cs="Arial" w:eastAsia="Arial" w:hAnsi="Arial"/>
          <w:sz w:val="17"/>
          <w:szCs w:val="17"/>
          <w:color w:val="auto"/>
        </w:rPr>
      </w:pPr>
    </w:p>
    <w:p>
      <w:pPr>
        <w:ind w:left="1080" w:right="200" w:hanging="424"/>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which impose certain requirements on covered entities and their business associates, as well as their covered subcontractors,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120" w:hanging="424"/>
        <w:spacing w:after="0" w:line="293"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U.S. federal transparency requirements under the Physician Payments Sunshine Act, enacted as part of the Affordable Care Act (“ACA”), that require applicable manufacturers of covered drugs, devices, biologics and medical supplies for which payment is available under Medicare, Medicaid or the Children’s Health Insurance Program, with specific exceptions, to track and annually report to Concerned Member States (“CMS”) payments and other transfers of value provided to physicians, certain other healthcare providers (such as physicians assistants and nurse practitioners), and teaching hospitals, and require certain manufacturers and group purchasing organizations to report annually certain ownership and investment interests held by physicians or their immediate family members;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73"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may not have the same effect as HIPAA, thus complicating compliance efforts.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cannot be excluded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 We may incur significant costs achieving and maintaining compliance with applicable federal and state privacy, security, and fraud laws. Any action against us for violation of these laws, even if we successfully defend against it, could cause us to incur significant legal expenses and divert our management’s attention from the operation of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 reform measures could adversely affect our business operations.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several legislative and regulatory changes and proposed reforms of the healthcare system to contain costs, improve quality, and expand access to care. For example, in March 2010, President Obama signed the ACA into law, which substantially changed the way healthcare is financed by both governmental and private insurers and continues to significantly impact the United States pharmaceutical industry.</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There have been judicial, congressional and executive branch challenges to certain aspects of the ACA. For example, on June 17, 2021, the United States Supreme Court dismissed a challenge on procedural grounds that argued the ACA is unconstitutional in its entirety because the individual mandate was repealed by Congress. Moreover, there have been a number of health reform initiatives by the Biden administration that have impacted the ACA. 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newly-established manufacturer discount program. It is unclear how other healthcare reform measures, if any, will impact our business.</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For example, on August 2, 2011, the Budget Control Act of 2011 was signed into law which among other things, led to aggregate reductions in Medicare payments to providers. These reductions went into effect on April 1, 2013, and, due to subsequent legislative amendments, will remain in effect until 2032, with the exception of a temporary suspension from May 1, 2020, through March 31, 2022, due to the COVID-19 pandemic, unless additional Congressional action is taken.</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Additionally, there have been several recent U.S. presidential executive orders, congressional inquiries and proposed and enacted legislation at the federal and state levels designed to, among other things, bring more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transparency to drug pricing, review the relationship between pricing and manufacturer patient programs, reduce the cost of drugs under Medicare, and reform government program reimbursement methodologies for drugs. For example, on March 11, 2023, the American Rescue Plan Act of 2021 was signed into law, which eliminates the statutory Medicaid drug rebate cap, currently set at 100% of a drug’s average manufacturer price, beginning January 1, 2024. In addition, the IRA, among other things, (1) directs HHS to negotiate the price of certain single-source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took effect progressively starting in fiscal year 2023, although the Medicare drug price negotiation program is currently subject to litigation.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We expect that additional U.S. federal healthcare reform measures will be adopted in the future, any of which could limit the amounts that the U.S. federal government will pay for healthcare products and services, which could result in reduced demand for our drug candidates or additional pricing pressures.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w:t>
      </w:r>
    </w:p>
    <w:p>
      <w:pPr>
        <w:spacing w:after="0" w:line="27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are subject to other laws and regulations governing our international operations, including regulations administered by the governments of the United States, and authorities in the European Union and in Japan, including applicable export control regulations, economic sanctions on countries and persons, customs requirements and currency exchange regulations, collectively referred to as the trade control laws.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also subject to anti-corruption laws, including the U.S. Foreign Corrupt Practices Act of 1977, as amended (“FCPA”), which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and other state and national anti-bribery and anti-money laundering laws in the countries in which we conduct activities, including the French anti-corruption laws:</w:t>
      </w:r>
    </w:p>
    <w:p>
      <w:pPr>
        <w:spacing w:after="0" w:line="93" w:lineRule="exact"/>
        <w:rPr>
          <w:sz w:val="20"/>
          <w:szCs w:val="20"/>
          <w:color w:val="auto"/>
        </w:rPr>
      </w:pPr>
    </w:p>
    <w:p>
      <w:pPr>
        <w:ind w:left="5540" w:right="4020" w:hanging="4884"/>
        <w:spacing w:after="0" w:line="449" w:lineRule="auto"/>
        <w:tabs>
          <w:tab w:leader="none" w:pos="10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Article 433-1-1 of the French Criminal Code (bribery of domestic public officials); 60</w:t>
      </w:r>
    </w:p>
    <w:p>
      <w:pPr>
        <w:sectPr>
          <w:pgSz w:w="11900" w:h="16838" w:orient="portrait"/>
          <w:cols w:equalWidth="0" w:num="1">
            <w:col w:w="11080"/>
          </w:cols>
          <w:pgMar w:left="320" w:top="459"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433-1-2 of the French Criminal Code (influence peddling involving domestic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434-9 of the French Criminal Code (bribery of domestic judicial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434-9-1 of the French Criminal Code (influence peddling involving domestic judicial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435-1 and 435-3 of the French Criminal Code (bribery of foreign or international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435-7 and 435-9 of the French Criminal Code (bribery of foreign or international judicial staff);</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435-2, 435-4, 435-8 and 435-10 of the French Criminal Code (active and passive influence peddling involving foreign or international public officials and foreign or international judicial staff);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445-1 and 445-2 of the French Criminal Code (bribery of private individuals); and</w:t>
      </w:r>
    </w:p>
    <w:p>
      <w:pPr>
        <w:spacing w:after="0" w:line="130"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French Law No. 2016-1691 of December 9, 2016 on Transparency, the Fight Against Corruption and the Modernization of the Economy (Sapin 2 Law), which provides for numerous new obligations for large companies such as the obligation to draw up and adopt a code of conduct defining and illustrating the different types of behavior to be proscribed as being likely to characterize acts of corruption or influence peddling, to set up an internal warning system designed to enable the collections of reports from employees relating to the existence of conduct or situations contrary to the company’s code of conduct, to set up accounting control procedures, whether internal or external, designed to ensure that the books, registers and accounts are not used to conceal acts of corruption or influence peddling, to set up a disciplinary system for sanctioning company employees in the event of a breach of the company’s code of conduct or a system for monitoring and evaluating the measures implemented.</w:t>
      </w:r>
    </w:p>
    <w:p>
      <w:pPr>
        <w:spacing w:after="0" w:line="17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The scope and enforcement of these laws is uncertain and subject to rapid change. Further, enforcement bodies have increased their scrutiny of interactions between healthcare companies and healthcare providers. This has resulted in an increase in the number of investigations, prosecutions, convictions and settlements in the healthcare industry. Responding to investigations can be both resource and time consuming and can divert management’s attention from the business. Any such investigation or settlement could increase our costs or otherwise have a material adverse effect on our business, outlook, financial position, income and growth.</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FCPA and other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is no complete assurance that we will be effective in ensuring our compliance with all applicable anti-corruption laws, including the FCPA, the French anti-corruption laws or other legal requirements, including trade control laws. If we are not in compliance with the FCPA, the French anti-corruption laws and other anti-corruption laws or trade control laws, we may be subject to criminal and civil penalties, disgorgement and other sanctions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U.S. or other authorities could also have an adverse impact on our reputation, our business, results of operations and financial condition.</w:t>
      </w:r>
    </w:p>
    <w:p>
      <w:pPr>
        <w:spacing w:after="0" w:line="14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addition, changes in our products and drug candidates or changes in applicable export or import laws and regulations may create delays in the introduction or provision of our products and drug candidates in other jurisdictions, prevent others from using our products and drug candidates or, in some cases, prevent the export or import of our products and drug candidates to certain countries, governments or persons altogether. Any limitation on our ability to export or provide our products and drug candidates could adversely affect our business, financial condition and results of operations.</w:t>
      </w:r>
    </w:p>
    <w:p>
      <w:pPr>
        <w:spacing w:after="0" w:line="26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Product liability and other lawsuits could divert our resources, result in substantial liabilities and reduce the commercial potential of our drug candidates.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risk that we may be sued on product liability claims is inherent in the development and commercialization of our drug candidates. Side effects of, or manufacturing defects in, drugs that we develop could result in the deterioration of a patient’s condition, injury or even death. For example, our liability could be sought after by patients participating in the clinical trials in the context of the development of the therapeutic products tested and unexpected side effects resulting from the administration of these drugs. In addition, we could face liability due to undetected side-effects caused by the interaction of our drugs with other drugs following release of the drug candidate to the market. Once a product is approved for sale and commercialized, the likelihood of product liability lawsuits increases. Criminal or civil proceedings might be filed against us by patients, regulatory authorities, biopharmaceutical companies and any other third party using or marketing our drugs. These actions could include claims resulting from actions by our partners, licensees and subcontractors, over which we have little or no control. These lawsuits may divert our management from pursuing our business strategy and may be costly to defend. In addition, if we are held liable in any of these lawsuits, we may incur substantial liabilities, may be forced to limit or forgo further commercialization of the affected products and may suffer damage to our reputation.</w:t>
      </w:r>
    </w:p>
    <w:p>
      <w:pPr>
        <w:spacing w:after="0" w:line="168"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could be exposed to the risk of liability claims during the clinical development of our products, in particular product liability claims, related to the manufacture of therapeutic products and trials in humans and animals. We could be held liable by patients participating in clinical trials as part of the development of the therapeutic products tested for unexpected side effects resulting from the administration of these products.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could also be held liable during the commercialization phase of our products. Criminal complaints or lawsuits could be filed or brought against us by patients, regulatory agencies, pharmaceutical companies and any other third parties using or marketing our products. These actions may include claims arising from acts of our partners, licensees or subcontractors, over which we have little or no control. Physicians and patients may not comply with any warnings that identify known potential adverse effects and patients who should not use our drug candidates.</w:t>
      </w:r>
    </w:p>
    <w:p>
      <w:pPr>
        <w:spacing w:after="0" w:line="171" w:lineRule="exact"/>
        <w:rPr>
          <w:sz w:val="20"/>
          <w:szCs w:val="20"/>
          <w:color w:val="auto"/>
        </w:rPr>
      </w:pPr>
    </w:p>
    <w:p>
      <w:pPr>
        <w:ind w:left="120" w:right="700" w:firstLine="440"/>
        <w:spacing w:after="0" w:line="286" w:lineRule="auto"/>
        <w:rPr>
          <w:sz w:val="20"/>
          <w:szCs w:val="20"/>
          <w:color w:val="auto"/>
        </w:rPr>
      </w:pPr>
      <w:r>
        <w:rPr>
          <w:rFonts w:ascii="Arial" w:cs="Arial" w:eastAsia="Arial" w:hAnsi="Arial"/>
          <w:sz w:val="17"/>
          <w:szCs w:val="17"/>
          <w:color w:val="auto"/>
        </w:rPr>
        <w:t>We maintain product liability insurance coverage for our clinical trials at levels which we believe are appropriate for our clinical trials. Nevertheless, we cannot guarantee that the insurance policy taken out or the contractually limited indemnification, if applicable, granted by our subcontractors will be sufficient to cover the claims that could be brought against us or losses we may suffer.</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our liability, or that of our partners, licensees and subcontractors, was thereby activated, if we or our partners, licensees and subcontractors were unable to obtain and maintain appropriate insurance coverage at an acceptable cost or protect ourselves in any way against liability claims, this would seriously affect the commercialization of our products and, more generally, have a material adverse effect on our business, income, financial position and outlook for growth.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sensitive third-party data, business plans, transactions, and financial information (collectively, sensitive data).</w:t>
      </w:r>
    </w:p>
    <w:p>
      <w:pPr>
        <w:spacing w:after="0" w:line="149"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4"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(“CPRA”), which becomes operative January 1, 2023, will expand the CCPA’s requirements, including applying to personal information of business representatives and employees and establishing a new regulatory agency to implement and enforce the law.</w:t>
      </w:r>
    </w:p>
    <w:p>
      <w:pPr>
        <w:spacing w:after="0" w:line="16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Other states, such as Virginia, Colorado, Utah and Connecticut have also passed comprehensive privacy laws, and similar laws are being considered in several other states, as well as at the federal and local levels. These developments may further complicate compliance efforts and may increase legal risk and compliance costs for us and the third parties upon whom we rely.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For example, the European Union’s Regulation (EU) 2016/679 of 27 April 2016 on the protection of natural persons with regard to the processing of personal data and on the free movement of such data, as amended (“EU GDPR”), the United Kingdom’s GDPR (“UK GDPR”), Brazil’s General Data Protection Law (Lei Geral de Proteção de Dados Pessoais, or “LGPD”) (Law No. 13,709/2018), and China’s Personal Information Protection Law (“PIPL”) impose strict requirements for processing personal data.</w:t>
      </w:r>
    </w:p>
    <w:p>
      <w:pPr>
        <w:spacing w:after="0" w:line="188"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color w:val="auto"/>
        </w:rPr>
        <w:t>Furthermore, we seek to obtain marketing authorization from the European Union for our drug candidates. Moreover, a significant portion of the personal data that we may use is managed by third parties (primarily clinical sites and CROs in clinical trials). The collection and use of personal health data in the European Union is governed by the provisions of the EU GDPR. Under the EU GDPR, companies may face temporary or definitive bans on data processing and other corrective actions; fines of up to €20 million or 4% of annual global revenue, whichever is greater; or private litigation related to processing of personal data brought by classes of data subjects or consumer protection organizations authorized at law to represent their interests.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(“UK”) have significantly restricted the transfer of personal data to countries whose privacy laws it believes are inadequate. Other jurisdictions may adopt similarly stringent interpretations of their data localization and cross-border data transfer laws. Although there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are currently various mechanisms that may be used to transfer personal data from the EEA and UK to the United States in compliance with law, such as the Trans-Atlantic Data Privacy Framework or the EEA and UK’s standard contractual clauses, being specified that these mechanisms of standard contractual clauses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w:t>
      </w:r>
    </w:p>
    <w:p>
      <w:pPr>
        <w:spacing w:after="0" w:line="16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84"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6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the ordinary course of our business, we and the third parties upon which we rely may process sensitive data, and, as a result, we and the third parties upon which we rely face a variety of evolving threats, including but not limited to ransomware attacks, which could cause security incidents. Cyber-attacks, malicious internet-based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employee email,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One of our CROs has experienced a data breach that involved personal data being compromised, affecting all the CRO’s customers, including fully pseudonymized and encoded electronic case report forms relating to 14 of our trials. While our Data Protection Committee concluded in October 2021 that there is no critical risk to the privacy of data subjects, we have conducted additional corrective and preventive measures to ensure any such data breach incident can be prevented in the future (including root cause analysis audits and risk analysis).</w:t>
      </w:r>
    </w:p>
    <w:p>
      <w:pPr>
        <w:spacing w:after="0" w:line="17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third parties upon whom we rely. A security incident or other interruption could disrupt our ability (and that of third parties upon whom we rely) to provide our services.</w:t>
      </w:r>
    </w:p>
    <w:p>
      <w:pPr>
        <w:spacing w:after="0" w:line="170"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6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 Ownership of Our ADSs and Our Status as a Non-U.S. Company with Foreign Private Issuer Status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There has been no market for our ADSs prior to the U.S. offering and an active and liquid market for our securities may fail to develop, which could harm the market price of our ADSs.</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Although our ordinary shares have been traded on Euronext Paris since mid-2015, there has been no public market on a U.S. national securities exchange for our ADSs in the United States. Although we anticipate that our ADSs will be approved for listing on the Nasdaq Global Market, an active trading market for our ADSs may never develop or be sustained following the offering. The offering price of our ADSs was determined through negotiations between us and the underwriters based on a number of factors. This offering price may not be indicative of the market price of our ADSs after the offering. In the absence of an active trading market for our ADSs, investors may not be able to sell their ADSs at or above the offering price or at the time that they would like to sell.</w:t>
      </w:r>
    </w:p>
    <w:p>
      <w:pPr>
        <w:spacing w:after="0" w:line="30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price of our securities could decline as a result.</w:t>
      </w:r>
    </w:p>
    <w:p>
      <w:pPr>
        <w:spacing w:after="0" w:line="6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sometimes estimate for planning purposes the timing of the accomplishment of various scientific, clinical, regulatory and other product development objectives. These milestones may include our expectations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93"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receipt of approvals by the European Commission, FDA and other regulatory agencies and the timing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compounds and raw materials used in the manufacture of our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drug candidates may be delayed, our business and results of operations may be harmed, and the trading price of the ADSs may decline as a result.</w:t>
      </w:r>
    </w:p>
    <w:p>
      <w:pPr>
        <w:spacing w:after="0" w:line="2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which could result in adverse U.S. federal income tax consequences to U.S. investors.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Generally, if, for any taxable year, at least 75% of our gross income is passive income (“income test”), or at least 50% of the value of our assets (based on an average of the quarterly values of the assets during a taxable year) is attributable to assets that produce passive income or are held for the production of passive income, including cash, we would be characterized as a passive foreign investment company (“PFIC”) for U.S. federal income tax purposes. For purposes of these tests, passive income includes, among other things, dividends, interest, and gains from the sale or exchange of investment property and rents or royalties other than rents or royalties which are received from unrelated parties in connection with the active conduct of a trade or business. Cash and cash equivalents are generally treated as passive assets. Goodwill is treated as an active asset to the extent associated with business activities that produce active income. For purposes of the PFIC rules, a non-U.S. corporation that owns, directly or indirectly, at least 25% by value of the equity interests of another corporation or partnership is treated as if it held its proportionate share of the assets of the other corporation or partnership, and received directly its proportionate share of the income of the other corporation or partnership. Equity interests of less than 25% by value in any other corporation or partnership are treated as passive assets, regardless of the nature of the other corporation or partnership’s business. If we are a PFIC for any taxable year in which a U.S. Holder (as defined in “Material United States Federal Income and French Tax Considerations—Material U.S. Federal Income Tax Considerations for U.S. Holders”) holds an ADS, certain adverse U.S. federal income tax consequences could apply to such U.S. Holder including increased tax liability on disposition gains and certain “excess distributions” and additional reporting requirements. See “Material United States Federal Income and French Tax Considerations—Material U.S. Federal Income Tax Considerations for U.S. Holders—Passive Foreign Investment Company Rules.”</w:t>
      </w:r>
    </w:p>
    <w:p>
      <w:pPr>
        <w:spacing w:after="0" w:line="18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Based on our analysis of our financial statements, activities and relevant market and shareholder data, we do not believe that we were a PFIC for the taxable year ended December 31, 2022. Whether we are a PFIC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taxable year will depend on the composition of our income and the composition, nature and value of our assets from time to time (including the value of our goodwill, which may be determined by reference to the value of our ADSs, which could fluctuate considerably). We currently do not generate product revenues and therefore we may be a PFIC for any taxable year in which we do not generate sufficient amounts of non-passive income to offset our passive financing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Internal Revenue Service, or the IRS, will agree with our conclusion and that the IRS would not successfully challenge our position. Each U.S. holder is strongly urged to consult its tax advisor regarding these issues and any available elections to mitigate such tax consequences.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a United States person is treated as owning at least 10% of the value or voting power of our ADSs, such holder may be subject to adverse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03"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aggregate value or voting power of our ADSs, such person may be treated as a “United States shareholder” with respect to each “controlled foreign corporation” in our group (if any), which may subject such person to adverse U.S. federal income tax consequences. Our group currently includes one U.S. subsidiary corporation and, therefore, under current law our current non-U.S. subsidiary and any future newly formed or acquired non-U.S. subsidiaries that are treated as corporations for U.S. federal income tax purposes will be treated as controlled foreign corporations, regardless of whether we are treated as a controlled foreign corporation. A United States shareholder of a controlled foreign corporation generally is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available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treated as a controlled foreign corporation or whether any holder of our ADSs is treated as a United States shareholder with respect to any such controlled foreign corporation or furnish to any United States shareholders information that may be necessary to comply with the aforementioned reporting and tax paying obligations. The United States Internal Revenue Service provided limited guidance on situations in which investors may rely on publicly available information to comply with their reporting and tax paying obligations with respect to foreign-controlled CFCs. Each U.S. holder of our ADSs should consult its advisors regarding the potential application of these rules to an investment in our ADSs.</w:t>
      </w:r>
    </w:p>
    <w:p>
      <w:pPr>
        <w:spacing w:after="0" w:line="29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use them in ways with which you do not agree and in ways that may not increase the value of your investment.</w:t>
      </w:r>
    </w:p>
    <w:p>
      <w:pPr>
        <w:spacing w:after="0" w:line="62"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that we receive from the global offering. We may spend or invest these proceeds in a way with which our shareholders and ADS holders disagree. The failure by our management to apply these funds effectively could harm our business and financial condition. Pending their use, we may invest the net proceeds from the global offering in a manner that does not produce income or that loses value. These investments may not yield a favorable return to our investors.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ADSs in the offering, you will experience substantial and immediate dilution.</w:t>
      </w:r>
    </w:p>
    <w:p>
      <w:pPr>
        <w:spacing w:after="0" w:line="11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If you purchase ADSs in the offering, you will experience substantial and immediate dilution of $7.21 per ADS in pro forma net tangible book value as of June 30, 2023, after giving effect to the global offering of approximately €201.1 million ($212.2 million) at the initial offering price of €10.9864 per ordinary share ($11.60 per ADS), after deducting the underwriting commissions and estimated offering expenses payable by us. This dilution is due in large part to the fact that our earlier investors paid substantially less than the offering price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when they purchased their ordinary shares. You will experience additional dilution upon exercise of any outstanding warrants to purchase ordinary shares or if we otherwise issue additional ordinary shares or ADSs below the offering price. For a further description of the dilution that you will experience immediately after the offering, see the section of this prospectus titled “Dilution.”</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Future, or the possibility of future sales, of a substantial number sales of our ordinary shares or ADSs by existing shareholders could depress the market price of the ordinary shares.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Future sales of a substantial number of our ADSs, or the perception that such sales will occur, could cause a decline in the market price of our ADSs. Based upon the number of shares outstanding as of June 30, 2023, after giving effect to the closing of the offering, we will have 62,873,068 ordinary shares outstanding (including ordinary shares in the form of ADSs), assuming the underwriters do not exercise their option to purchase 3,048,825 additional ADSs. ADSs issued and sold in the U.S. offering may be resold in the public market immediately without restriction, unless purchased by our affiliates. A significant portion of these ADSs will be subject to the lock-up agreements described in “Ordinary Shares and ADSs Eligible for Future Sale” and “Underwriters.” If, after the end of such lock-up agreements, these shareholders or ADS holders sell substantial amounts of ADSs in the public market, or the market perceives that such sales may occur, the market price of our ADSs and our ability to raise capital through an issuance of equity securities in the future could be adversely affected.</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a French company with limited liability. Our corporate affairs are governed by our by-laws and by the laws governing companies incorporated in France. The rights of shareholders and the responsibilities of members of our Board are in many ways different from the rights and obligations of shareholders in companies governed by the laws of U.S. jurisdictions. For example, in the performance of its duties, our Board is required by French law to consider the interests of our company, its shareholders, its employees and other stakeholders, rather than solely our shareholders and/or creditors. It is possible that some of these parties will have interests that are different from, or in addition to, your interests as a shareholder or holder of ADSs. See the sections of this prospectus titled “Management—Board Practices—Corporate Governance Practices” and “Description of Share Capital.”</w:t>
      </w:r>
    </w:p>
    <w:p>
      <w:pPr>
        <w:spacing w:after="0" w:line="27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directors and senior management and the experts named in this prospectus.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Certain members of our Board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w:t>
      </w:r>
    </w:p>
    <w:p>
      <w:pPr>
        <w:spacing w:after="0" w:line="18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292"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You may face difficulties protecting your interests, and your ability to protect your rights through the U.S. federal courts may be limited because we are incorporated under the laws of France, all of our assets are in the European Union and a majority of our directors and executive officers reside outside the United States.</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constituted under the laws of France. A majority of our officers and directors reside outside the United States. In addition, a substantial portion of their assets and our assets are located outside of the United States. 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 U.S. Federal or state securities laws. Furthermore, there is substantial doubt as to the enforceability in France against us or against any of our directors, officers and the expert named in this prospectus who are not residents of the United States, in original actions or in actions for enforcement of judgments of U.S. courts, of liabilities based solely upon the civil liability provisions of the U.S. federal securities laws. In addition, shareholders in French corporations may not have standing to initiate a shareholder derivative action in U.S. federal courts.</w:t>
      </w:r>
    </w:p>
    <w:p>
      <w:pPr>
        <w:spacing w:after="0" w:line="178"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As a result, our public shareholders may have more difficulty in protecting their interests through actions against us, our management, our directors or our major shareholders than would shareholders of a corporation incorporated in a jurisdiction in the United States.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Following this global offering and after the ADSs begin trading on the Nasdaq Global Market, our ordinary shares will continue to be listed on Euronext Paris. Trading of the ADSs or ordinary shares in these markets will take place in different currencies (U.S. dollars on Nasdaq and euros on Euronext Paris), and at different times (resulting from different time zones, different trading days and different public holidays in the United States and France). The trading prices of our ordinary shares on these two markets may differ due to these and other factors. Any decrease in the price of our ordinary shares on Euronext Paris could cause a decrease in the trading price of the ADSs on Nasdaq.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will not be immediately able to surrender their ADSs and withdraw the underlying ordinary shares for trading on the other market without effecting necessary procedures with the depositary. This could result in time delays and additional cost for holders of ADSs. We cannot predict the effect of this dual listing on the value of our ordinary shares and the ADSs. However, the dual listing of our ordinary shares and the ADSs may reduce the liquidity of these securities in one or both markets and may adversely affect the development of an active trading market for the ADSs in the United States.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by-laws and French corporate law contain provisions that may delay or discourage a takeover attempt.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 party to acquire us, even if doing so might be beneficial to our shareholders. In addition, provisions of our by-laws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impose various procedural and other requirements, which could make it more difficult for shareholders to effect certain corporate actions. These provisions include the following:</w:t>
      </w:r>
    </w:p>
    <w:p>
      <w:pPr>
        <w:spacing w:after="0" w:line="76" w:lineRule="exact"/>
        <w:rPr>
          <w:sz w:val="20"/>
          <w:szCs w:val="20"/>
          <w:color w:val="auto"/>
        </w:rPr>
      </w:pPr>
    </w:p>
    <w:p>
      <w:pPr>
        <w:jc w:val="both"/>
        <w:ind w:left="1080" w:right="30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French law, the owner of 90% of the share capital or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w:t>
      </w:r>
      <w:r>
        <w:rPr>
          <w:rFonts w:ascii="Arial" w:cs="Arial" w:eastAsia="Arial" w:hAnsi="Arial"/>
          <w:sz w:val="18"/>
          <w:szCs w:val="18"/>
          <w:i w:val="1"/>
          <w:iCs w:val="1"/>
          <w:color w:val="auto"/>
        </w:rPr>
        <w:t>Banque de France</w:t>
      </w:r>
      <w:r>
        <w:rPr>
          <w:rFonts w:ascii="Arial" w:cs="Arial" w:eastAsia="Arial" w:hAnsi="Arial"/>
          <w:sz w:val="18"/>
          <w:szCs w:val="18"/>
          <w:color w:val="auto"/>
        </w:rPr>
        <w:t>) within 20 working days following the date of certain direct foreign investments in us, including any purchase of our ADSs. In particular, such filings are required in connection with investments exceeding €15 million that lead to the acquisition of at least 10% of our share capital or voting rights or cross such 10% threshold. See “Limitations Affecting Shareholders of a French Company”;</w:t>
      </w:r>
    </w:p>
    <w:p>
      <w:pPr>
        <w:spacing w:after="0" w:line="93"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under French law,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research and development in biotechnologies, activities relating to public health, etc.;</w:t>
      </w:r>
    </w:p>
    <w:p>
      <w:pPr>
        <w:spacing w:after="0" w:line="54" w:lineRule="exact"/>
        <w:rPr>
          <w:rFonts w:ascii="Arial" w:cs="Arial" w:eastAsia="Arial" w:hAnsi="Arial"/>
          <w:sz w:val="16"/>
          <w:szCs w:val="16"/>
          <w:color w:val="auto"/>
        </w:rPr>
      </w:pPr>
    </w:p>
    <w:p>
      <w:pPr>
        <w:ind w:left="1080" w:right="300" w:hanging="424"/>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Board as well as a two-thirds majority of the votes held by the shareholders present, represented by proxy or voting by mail at the relevant meeting;</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ind w:left="1080" w:right="62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shareholders have granted and may grant in the future our Board broad authorizations to increase our share capital or to issue additional ordinary shares or other securities, such as warrants, to our shareholders, the public or qualified investors, including as a possible defense following the launching of a tender offer for our shares;</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our shareholders have preferential subscription rights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has the right to appoint directors to fill a vacancy created by the resignation or death of a director, subject to the approval by the shareholders of such appointment at the next shareholders’ meeting, which prevents shareholders from having the sole right to fill vacancies on our Board;</w:t>
      </w:r>
    </w:p>
    <w:p>
      <w:pPr>
        <w:spacing w:after="0" w:line="89" w:lineRule="exact"/>
        <w:rPr>
          <w:rFonts w:ascii="Arial" w:cs="Arial" w:eastAsia="Arial" w:hAnsi="Arial"/>
          <w:sz w:val="18"/>
          <w:szCs w:val="18"/>
          <w:color w:val="auto"/>
        </w:rPr>
      </w:pPr>
    </w:p>
    <w:p>
      <w:pPr>
        <w:jc w:val="both"/>
        <w:ind w:left="1080" w:right="80" w:hanging="424"/>
        <w:spacing w:after="0" w:line="28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Board can be convened by our chairman, including upon request from our Chief Executive Officer (</w:t>
      </w:r>
      <w:r>
        <w:rPr>
          <w:rFonts w:ascii="Arial" w:cs="Arial" w:eastAsia="Arial" w:hAnsi="Arial"/>
          <w:sz w:val="17"/>
          <w:szCs w:val="17"/>
          <w:i w:val="1"/>
          <w:iCs w:val="1"/>
          <w:color w:val="auto"/>
        </w:rPr>
        <w:t>directeur général</w:t>
      </w:r>
      <w:r>
        <w:rPr>
          <w:rFonts w:ascii="Arial" w:cs="Arial" w:eastAsia="Arial" w:hAnsi="Arial"/>
          <w:sz w:val="17"/>
          <w:szCs w:val="17"/>
          <w:color w:val="auto"/>
        </w:rPr>
        <w:t>), if the positions of Chief Executive Officer and Chairman of the Board are not held by the same person, or, when no board meeting has been held for more than two consecutive months, from directors representing at least one-third of the total number of directors;</w:t>
      </w:r>
    </w:p>
    <w:p>
      <w:pPr>
        <w:spacing w:after="0" w:line="70" w:lineRule="exact"/>
        <w:rPr>
          <w:rFonts w:ascii="Arial" w:cs="Arial" w:eastAsia="Arial" w:hAnsi="Arial"/>
          <w:sz w:val="17"/>
          <w:szCs w:val="17"/>
          <w:color w:val="auto"/>
        </w:rPr>
      </w:pPr>
    </w:p>
    <w:p>
      <w:pPr>
        <w:ind w:left="1080" w:right="420" w:hanging="424"/>
        <w:spacing w:after="0" w:line="34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Board meetings can only be regularly held if at least half of the directors attend either physically or by way of videoconference or teleconference enabling the directors’ identification and ensuring their effective participation in the Board’s decisions;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shares are registered or bearer, if the legislation so permits, according to the shareholder’s choice;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directors with or without cause;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advance notice is required for nominations to the Board or for proposing matters to be acted upon at a shareholders’ meeting, except that a vote to remove and replace a director can be proposed at any shareholders’ meeting without notice;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by-laws can be changed in accordance with applicable French laws and regulations;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crossing of certain thresholds must be disclosed and can impose certain obligations (including filing a mandatory public tender offer). See “Description of Share Capital—Disclosure Requirements for Holdings Exceeding Certain Thresholds”;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EU Market Abuse Directive and Regulation dated April 16, 2014; and</w:t>
      </w:r>
    </w:p>
    <w:p>
      <w:pPr>
        <w:spacing w:after="0" w:line="75" w:lineRule="exact"/>
        <w:rPr>
          <w:rFonts w:ascii="Arial" w:cs="Arial" w:eastAsia="Arial" w:hAnsi="Arial"/>
          <w:sz w:val="18"/>
          <w:szCs w:val="18"/>
          <w:color w:val="auto"/>
        </w:rPr>
      </w:pPr>
    </w:p>
    <w:p>
      <w:pPr>
        <w:jc w:val="both"/>
        <w:ind w:left="1080" w:right="16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French law, the sections of our by-laws relating to the number of directors and election and removal of a director from office, may only be modified by a resolution adopted by two-thirds of the votes of our shareholders present, represented by a proxy or voting by mail at the meeting.</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Existing and potential investors in our ordinary shares or ADSs may have to request the prior authorization from the French Ministry of Economy prior to acquiring a significant ownership position in our ordinary shares or ADSs.</w:t>
      </w:r>
    </w:p>
    <w:p>
      <w:pPr>
        <w:spacing w:after="0" w:line="6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Under French law, direct and indirect acquisition of control of all or part of a branch of activity, and investments of more than 25% by foreign individuals or entities (except, in the last case, EU/EEA investors) in a French company deemed to be a strategic industry is subject to prior authorization of the French Ministry of Economy pursuant to Articles L. 151-1 et seq. and R. 151-1 et seq. of the French Monetary and Financial Code.</w:t>
      </w:r>
    </w:p>
    <w:p>
      <w:pPr>
        <w:spacing w:after="0" w:line="14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an investment requiring the prior authorization of the French Minister of Economy is completed without such authorization having been granted, the French Minister of Economy might direct the relevant investor to (i) submit a request for authorization, (ii) have the previous situation restored at its own expense or (iii) amend the investment. The relevant investor might also be found criminally liable and might be sanctioned with a fine which cannot exceed the greater of: (i) twice the amount of the relevant investment, (ii) 10% of the annual turnover before tax of the target company and (iii) €5 million (for an entity) or €1 million (for an individual). The French Minister of Economy may also adopt precautionary measures it deems necessary to protect strategic sovereign assets , including the suspension of voting rights or the prohibition or limitation of the distribution of dividends and remuneration attached to shares whose ownership by the investor should have been subject to prior authorization.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context of the COVID-19 pandemic,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2020-892 dated July 22, 2020, as amended by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w:t>
      </w:r>
    </w:p>
    <w:p>
      <w:pPr>
        <w:spacing w:after="0" w:line="46"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1729 dated December 28, 2020, on December 22, 2021 by the Decree (décret) n° 2021-1758 and lastly on December 23, 2022 by the Decree (</w:t>
      </w:r>
      <w:r>
        <w:rPr>
          <w:rFonts w:ascii="Arial" w:cs="Arial" w:eastAsia="Arial" w:hAnsi="Arial"/>
          <w:sz w:val="17"/>
          <w:szCs w:val="17"/>
          <w:i w:val="1"/>
          <w:iCs w:val="1"/>
          <w:color w:val="auto"/>
        </w:rPr>
        <w:t>décret</w:t>
      </w:r>
      <w:r>
        <w:rPr>
          <w:rFonts w:ascii="Arial" w:cs="Arial" w:eastAsia="Arial" w:hAnsi="Arial"/>
          <w:sz w:val="17"/>
          <w:szCs w:val="17"/>
          <w:color w:val="auto"/>
        </w:rPr>
        <w:t>) n° 2022-1622, has implemented a 10% threshold of the voting rights for the non-EU/EEA investments made (i) in an entity incorporated under the laws of France and (ii) whose shares are admitted to trading on a regulated market, in addition to the 25% above-mentioned threshold. Set to expire on December 31, 2023, this 10% threshold could become permanent.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w:t>
      </w:r>
    </w:p>
    <w:p>
      <w:pPr>
        <w:spacing w:after="0" w:line="183"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Failure to comply with such measures could result in significant consequences in the concerned investment. Such measures could also delay or discourage a takeover or more broadly a foreign investment attempt, and we cannot predict whether these measures will result in a lower or more volatile market price of our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details on the French foreign investment control regime see “Limitations Affecting Shareholders of a French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Purchasers of ADSs may instruct the depositary of their ADSs to vote the ordinary shares underlying their ADSs. Otherwise, purchasers of ADSs will not be able to exercise voting rights unless they withdraw the ordinary shares underlying the ADSs they hold. However, a holder of ADSs may not know about the meeting far enough in advance to withdraw those ordinary shares. If we ask for a holder of ADSs’ instructions, the depositary, upon timely 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 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 out voting instructions. This means that a holder of ADSs may not be able to exercise his or her right to vote, and there may be nothing he or she can do if the ordinary shares underlying his or her ADSs are not voted as he or she requested.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are not holders of our ordinary shares.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holder of ADSs will not be treated as one of our shareholders and will not have direct shareholder rights. French law governs our shareholder rights. The depositary will be the holder of the ordinary shares underlying ADSs held by purchasers of ADSs. Purchasers of ADSs will have ADS holder rights. The deposit agreement among us, the depositary and purchasers of ADSs, as ADS holders, and all other persons directly and indirectly holding ADSs, sets out ADS holder rights, as well as the rights and obligations of the depositary.</w:t>
      </w:r>
    </w:p>
    <w:p>
      <w:pPr>
        <w:spacing w:after="0" w:line="18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 double voting right is attached to each registered ordinary share (except treasury shares) that is held in the name of the same shareholder for at least two years. However, the ordinary shares underlying our ADSs will not be entitled to double voting rights as the depositary will hold the ordinary shares underlying our ADSs in bearer form.</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right as a holder of ADSs to participate in any future preferential subscription rights or to elect to receive dividends in shares may be limited, which may cause dilution to the holdings of purchasers of ADSs in the ADS offering.</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According to French law, if we issue additional securities for cash, current shareholders will have preferential subscription rights for these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they waive those rights at an extraordinary meeting of our shareholders by a two-thirds majority vote or individually by each shareholder. However,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ADSs unless the distribution to ADS holders of both the rights and any related securities are either registered under the Securities Act or exempted from registration under the Securities Act. Further, if we offer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may be subject to limitations on the withdrawal of the underlying ordinary shares.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spacing w:after="0" w:line="30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9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 No condition, stipulation or provision of the deposit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agreement or ADSs serves as a waiver by any holder or beneficial owner of ADSs or by us or the depositary of compliance with U.S. federal securities laws and the rules and regulations promulgated thereunder.</w:t>
      </w:r>
    </w:p>
    <w:p>
      <w:pPr>
        <w:spacing w:after="0" w:line="2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w:t>
      </w:r>
    </w:p>
    <w:p>
      <w:pPr>
        <w:spacing w:after="0" w:line="62"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w:t>
      </w:r>
    </w:p>
    <w:p>
      <w:pPr>
        <w:spacing w:after="0" w:line="1"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Form 8-K under the Exchange Act. Accordingly, there will be less publicly available information concerning our company than there would be if we were not a foreign private issuer.</w:t>
      </w:r>
    </w:p>
    <w:p>
      <w:pPr>
        <w:spacing w:after="0" w:line="293"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 practices may afford less protection to shareholders than they would enjoy if we complied fully with the corporate governance standards of the Nasdaq Global Market.</w:t>
      </w:r>
    </w:p>
    <w:p>
      <w:pPr>
        <w:spacing w:after="0" w:line="4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a foreign private issuer listed on the Nasdaq Global Market, we will be subject to Nasdaq’s corporate governance standards. However, Nasdaq rules provide that foreign private issuers are permitted to follow home country corporate governance practices in lieu of Nasdaq’s corporate governance standards as long as notification is provided to Nasdaq of the intention to take advantage of such exemptions. We intend to rely on exemptions for foreign private issuers and follow French corporate governance practices in lieu of Nasdaq’s corporate governance standards, to the extent possible. Certain corporate governance practices in France, which is our home country, may differ significantly from Nasdaq corporate governance standards. For example, as a French company, neither the corporate laws of France nor our by-laws require a majority of our directors to be independent and we can include non-independent directors as members of our remuneration committee, and our independent directors are not required to hold regularly scheduled meetings at which only independent directors are present.</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also exempt from provisions set forth in Nasdaq rules which require an issuer to provide in its by-laws for a generally applicable quorum, and that such quorum may not be less than one-third of the outstanding voting stock. Consistent with French law, our by-laws provide that a quorum requires the presence of shareholders having at least (i) 20% of the shares entitled to vote in the case of an ordinary shareholders’ general meeting or at an extraordinary shareholders’ general meeting where shareholders are voting on a capital increase by capitalization of reserves, profits or share premium, or (ii) 25% of the shares entitled to vote in the case of any other extraordinary shareholders’ general meeting. If a quorum is not present, the meeting is adjourned. There is no quorum requirement when an ordinary general meeting is reconvened, but the reconvened meeting may consider only questions which were on the agenda of the adjourned meeting. When an extraordinary general meeting is reconvened, the quorum required is 20% of the shares entitled to vote, except where the reconvened meeting is considering capital increases through capitalization of reserves, profits or share premium. For these matters, no quorum is required at the reconvened meeting. If a quorum is not present at a reconvened meeting requiring a quorum, then the meeting may be adjourned for a maximum of two months.</w:t>
      </w:r>
    </w:p>
    <w:p>
      <w:pPr>
        <w:spacing w:after="0" w:line="18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a foreign private issuer, we are required to comply with Rule 10A-3 of the Exchange Act, relating to audit committee composition and responsibilities. Under French law, the audit committee may only have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advisory role and appointment of our statutory auditors, in particular, must be decided by the shareholders at our annual meeting. Therefore, our shareholders may be afforded less protection than they otherwise would have under Nasdaq’s corporate governance standards applicable to U.S. domestic issuers. For an overview of our corporate governance practices, see “Management—Board Practices—Corporate Governance Practices.”</w:t>
      </w:r>
    </w:p>
    <w:p>
      <w:pPr>
        <w:spacing w:after="0" w:line="25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will be able to avail ourselves of reduced disclosure requirements applicable to emerging growth companies, which could make our ADSs less attractive to investors.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We will not take advantage of the extended transition period provided under Section 7(a)(2)(B) of the Securities Act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cannot predict if investors will find our ADSs less attractive because we may rely on these exemptions. If some investors find our ADSs less attractive as a result, there may be a less active trading market for our ADSs and the price of our ADSs may be more volatile. We may take advantage of these reporting exemptions until we are no longer an emerging growth company. We will remain an emerging growth company until the earliest of</w:t>
      </w:r>
    </w:p>
    <w:p>
      <w:pPr>
        <w:spacing w:after="0" w:line="2" w:lineRule="exact"/>
        <w:rPr>
          <w:sz w:val="20"/>
          <w:szCs w:val="20"/>
          <w:color w:val="auto"/>
        </w:rPr>
      </w:pPr>
    </w:p>
    <w:p>
      <w:pPr>
        <w:ind w:left="120" w:right="20" w:hanging="4"/>
        <w:spacing w:after="0" w:line="277" w:lineRule="auto"/>
        <w:tabs>
          <w:tab w:leader="none" w:pos="3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$1.235 billion or more; (2) the last day of our fiscal year following the fifth anniversary of the date of the completion of the offering; (3) the date on which we have issued more than $1.0 billion in nonconvertible debt during the previous three years; and (4) the date on which we are deemed to be a large accelerated filer under the rules of the SEC.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2024. In the future, we could lose our foreign private issuer status if we fail to meet the requirements necessary to maintain our foreign private issuer status as of the relevant determination date. We will remain a foreign private issuer until such time that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For additional information relating to our principal shareholders, see “Principal Shareholders.”</w:t>
      </w:r>
    </w:p>
    <w:p>
      <w:pPr>
        <w:spacing w:after="0" w:line="17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 U.S. GAAP would involve significant time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and cost. In addition, we may lose our ability to rely upon exemptions from certain corporate governance requirements on U.S. stock exchanges that are available to foreign private issuers such as the ones described herein and exemptions from procedural requirements related to the solicitation of proxies.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The growth of our business may depend in part on our ability to acquire, in-license or use third-party proprietary rights. For example, our drug candidates may require specific formulations to work effectively and efficiently, we may develop drug candidates containing our compounds</w:t>
      </w:r>
    </w:p>
    <w:p>
      <w:pPr>
        <w:ind w:left="120" w:right="80"/>
        <w:spacing w:after="0" w:line="286" w:lineRule="auto"/>
        <w:rPr>
          <w:sz w:val="20"/>
          <w:szCs w:val="20"/>
          <w:color w:val="auto"/>
        </w:rPr>
      </w:pPr>
      <w:r>
        <w:rPr>
          <w:rFonts w:ascii="Arial" w:cs="Arial" w:eastAsia="Arial" w:hAnsi="Arial"/>
          <w:sz w:val="16"/>
          <w:szCs w:val="16"/>
          <w:color w:val="auto"/>
        </w:rPr>
        <w:t>and pre-existing pharmaceutical compounds, or we may be required by the FDA or comparable foreign regulatory authorities to provide a companion diagnostic test or tests with our drug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6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drug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drug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equity securities may be volatile, and purchasers of our ADSs could incur substantial losses.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market price for our ADSs may be volatile. The stock market in general and the market for biopharmaceutical companies in particular have experienced extreme volatility that has often been unrelated to the operating performance of particular companies. In particular, our share price in Paris has fluctuated from a 52-week high of €19.70 to a low of €5.60 as of October 19, 2023. As a result of this volatility, investors may not</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be able to sell their ADSs at or above the price originally paid for the security. The market price for our ADSs and ordinary shares may be influenced by many factors, including:</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lawsuits threatened or filed against us, 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third-party payors and government payors and any announcements relating to coverage policies or reimbursement levels;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our ordinary shares or ADSs by us, our insiders or our other shareholders;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the trading market for our ADSs.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their trading volume could decline.</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trading market for our ADSs depends in part on the research and reports that securities or industry analysts publish about us or our business. If no or few securities or industry analysts cover our company, the trading price for our ADSs would be negatively impacted. If one or more of the analysts who covers us downgrades our equity securities or publishes incorrect or unfavorable research about our business, the price of our ADSs would likely decline. If one or more of these analysts ceases coverage of our company or fails to publish reports on us regularly, or downgrades our securities, demand for our ADSs could decrease, which could cause the price of our ADSs or their trading volume to decline.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requirements of being a U.S. public company may strain our resources and divert management’s attention.</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required to comply with various corporate governance and financial reporting requirements under the Sarbanes-Oxley Act, the Exchange Act, and the rules and regulations adopted by the SEC and the Public Company Accounting Oversight Board. Further, compliance with various regulatory reporting requires significant commitments of time from our management and our directors, which reduces the time available for the performance of their other responsibilities. Our failure to track and comply with the various rules may materially adversely affect our reputation, ability to obtain the necessary certifications to financial statements, lead to additional regulatory enforcement actions, and could adversely affect the value of our ordinary shares or ADSs.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After the completion of the offering, we may be at an increased risk of securities class action litigation.</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which could be insufficiently covered by insurance, and a diversion of management’s attention and resources, which could harm our business.</w:t>
      </w:r>
    </w:p>
    <w:p>
      <w:pPr>
        <w:spacing w:after="0" w:line="295" w:lineRule="exact"/>
        <w:rPr>
          <w:sz w:val="20"/>
          <w:szCs w:val="20"/>
          <w:color w:val="auto"/>
        </w:rPr>
      </w:pPr>
    </w:p>
    <w:p>
      <w:pPr>
        <w:jc w:val="both"/>
        <w:ind w:left="120" w:right="140"/>
        <w:spacing w:after="0" w:line="375"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the ordinary shares and our ADSs. In addition, French law may limit the amount of dividends we are able to distribute.</w:t>
      </w:r>
    </w:p>
    <w:p>
      <w:pPr>
        <w:spacing w:after="0" w:line="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ADSs for the foreseeable future and the success of an investment in ADSs will depend upon any future appreciation in its value. Consequently, investors may need to sell all or part of their holdings of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not purchase our ADSs. Furthermore, certain of our debt instruments restrict the payment of dividends or require consent to pay dividends. See “Dividend Policy.”</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 under French law, the determination of whether we have been sufficiently profitable to pay dividends is made on the basis of our statutory financial statements prepared and presented in accordance with accounting standards applicable in France. In addition, payment of dividends may subject us to additional taxes under French law. Therefore, we may be more restricted in our ability to declare dividends than companies not based in France.</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ADSs, and, in turn, the U.S. dollar proceeds that holders receive from the sale of our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but are not limited to statements about:</w:t>
      </w:r>
    </w:p>
    <w:p>
      <w:pPr>
        <w:spacing w:after="0" w:line="74"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prospects of attaining, maintaining and expanding marketing authorization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attributes and clinical advantages of our drug candidates;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and clinical trials (and those conducted by third parties) and other research and development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of and our ability to advance drug candidates through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or likelihood of regulatory meetings and filings;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any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identify and develop new drug candidates from our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and transition into a commercial-stage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enter into strategic relationships or partnerships;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global offering and our existing cash and cash requirements;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the need for additional financing, including the period of time over which we expect the net proceeds of the global offering together with cash and cash equivalents will be sufficient to fund our operations and capital requirements;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refer to the “Risk Factors” section of this prospectus for a discussion of important factors that may cause our actual results to differ materially from those expressed or implied by our forward-looking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statements. The Private Securities Litigation Reform Act of 1995 and Section 27A of the Securities Act, do not protect any forward-looking statements that we make in connection with the global offering.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These statements are inherently uncertain and investors are cautioned not to unduly rely upon these statements. We undertake no obligation to publicly update any forward-looking statements, whether as a result of new information, future events or otherwise, except as required by-law.</w:t>
      </w:r>
    </w:p>
    <w:p>
      <w:pPr>
        <w:spacing w:after="0" w:line="18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This prospectus also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market to grow at the projected rate may have a material and adverse effect on our business and the market price of our ordinary shares (including ordinary shares in the form of ADSs). Furthermore, if any one or more of the assumptions underlying the market data are later found to be incorrect, actual results may differ from the projections based on these assumptions. You should not place undue reliance on this data.</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estimate that we will receive net proceeds from the global offering of approximately €201.1 million ($212.2 million) at the initial offering price of €10.9864 per ordinary share ($11.60 per ADS), after deducting the underwriting commissions and estimated offering expenses payable by us, and assuming no exercise of the underwriters’ option to purchase additional ordinary shares (which may be in the form of ADSs). If the underwriters exercise in full their option to purchase additional ordinary shares (which may be in the form of ADSs) in the global offering, we estimate that we will receive net proceeds from the offering of approximately €232.2 million ($245.1 million) at the initial offering price of €10.9864 per ordinary share ($11.60 per ADS), after deducting the underwriting commissions and estimated offering expenses payable by us.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global offering as follows:</w:t>
      </w:r>
    </w:p>
    <w:p>
      <w:pPr>
        <w:spacing w:after="0" w:line="131" w:lineRule="exact"/>
        <w:rPr>
          <w:sz w:val="20"/>
          <w:szCs w:val="20"/>
          <w:color w:val="auto"/>
        </w:rPr>
      </w:pPr>
    </w:p>
    <w:p>
      <w:pPr>
        <w:ind w:left="1080" w:right="3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€160.0 million ($168.9 million, assuming an exchange rate of €0.9471 per U.S. dollar, the exchange rate on October 19, 2023 as reported by the European Central Bank) to fund the development of obefazimod for UC;</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€14.0 million ($14.8 million, assuming an exchange rate of €0.9471 per U.S. dollar, the exchange rate on October 19, 2023 as reported by the European Central Bank) to fund the development of obefazimod for CD; and</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remainder for working capital and for other general corporate purposes, including in the continued research to identify new compounds and the payment of maturities of existing debt agreements as they become due (mostly allocated to payments under the Kreos / Claret Financing, and assuming that we will repay the Heights Financing through the issuance of new shares instead of making cash payments).</w:t>
      </w:r>
    </w:p>
    <w:p>
      <w:pPr>
        <w:spacing w:after="0" w:line="149"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believe that the anticipated net proceeds from this offering, together with our current cash and cash equivalents, will allow us to finance our operations through (i) the announcement of our top-line data from our Phase 3 ABTECT-1 and ABTECT-2 induction trials for UC and (ii) the announcement of our top-line data from our Phase 2a induction trial for CD.</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This expected use of net proceeds from the global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 As a result, our management retains broad discretion over the allocation of the net proceeds from the global offering.</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Pending our use of the net proceeds from the global offering, we intend to invest the net proceeds in a variety of capital preservation investments, including short-term, investment-grade, interest-bearing instruments.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never declared or paid any cash dividends on our ordinary shares. We do not have any present plan to pay any cash dividends on our equity securities in the foreseeable future after the global offering. We currently intend to retain all of our available funds and any future earnings to operate and expand our business. For as long as any amount is outstanding under the Kreos / Claret Financing, we are not permitted to declare or make any dividend without consent from KC or Claret. In the event a dividend is made or declared, the terms and conditions of the OCABSAs and BSAs issued to KC and Claret and the terms and conditions of the convertible notes issued to Heights provide for an adjustment of the conversion ratio. We do not anticipate paying cash dividends on our equity securities in the foreseeable future and intend to retain all available funds and any future earnings for use in the operation and expansion of our business, given our state of development.</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requirements of French law and our by-laws, dividends may only be distributed from our distributable profits, plus any amount held in our available reserves, which are those reserves other than the legal and statutory reserves and the revaluation surplus. See “Description of Share Capital” for further details on the limitations on our ability to declare and pay dividends.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pay any dividends, we will pay our ADS holders to the same extent as holders of our ordinary shares, subject to the terms of the deposit agreement, including deduction in respect of the fees and expenses payable thereunder. See “Description of American Depositary Shares” for further information. Cash dividends on our ordinary shares, if any, will be paid in euros and converted into U.S. dollars with respect to ADSs, as provided in the deposit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cash and cash equivalents and total capitalization as of June 30, 2023 on:</w:t>
      </w:r>
    </w:p>
    <w:p>
      <w:pPr>
        <w:spacing w:after="0" w:line="131"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80" w:right="220" w:hanging="424"/>
        <w:spacing w:after="0" w:line="27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pro forma basis to give effect to the (i) issuance of the Kreos / Claret OCABSA in the amount of €25.0 million in gross proceeds, (ii) issuance of the Heights Convertible Notes (based on a valuation as of August 24, 2023) in the amount of €35.0 million in gross proceeds and (iii) repayments of all outstanding amounts that remained due under the First KC Agreement, the Second KC Agreement and the OCEANE bonds in the amount of €34.2 million (outstanding as of June 30, 2023); and</w:t>
      </w:r>
    </w:p>
    <w:p>
      <w:pPr>
        <w:spacing w:after="0" w:line="76" w:lineRule="exact"/>
        <w:rPr>
          <w:rFonts w:ascii="Arial" w:cs="Arial" w:eastAsia="Arial" w:hAnsi="Arial"/>
          <w:sz w:val="17"/>
          <w:szCs w:val="17"/>
          <w:color w:val="auto"/>
        </w:rPr>
      </w:pPr>
    </w:p>
    <w:p>
      <w:pPr>
        <w:ind w:left="1080" w:right="20" w:hanging="424"/>
        <w:spacing w:after="0" w:line="27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pro forma as adjusted basis to reflect the pro forma items described above and the issuance and sale of 20,325,500 ordinary shares (which may be in the form of ADSs) in the global offering, consisting of (i) 18,699,460 ADSs in the U.S. offering at the initial offering price of $11.60 per ADS and (ii) 1,626,040 ordinary shares in the European private placement at the initial offering price of €10.9864 per ordinary share, after deducting the underwriting commissions and estimated offering expenses payable by us.</w:t>
      </w:r>
    </w:p>
    <w:p>
      <w:pPr>
        <w:spacing w:after="0" w:line="171"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The Kreos / Claret Financing and the Heights Convertible Notes consist of elements that need to be fair valued under IFRS. We have performed a preliminary valuation to estimate the fair value for the purposes of preparing the capitalization table and therefore such figures may be subject to further adjustments. The table should be read in conjunction with the information contained in “Use of Proceeds,” and “Management’s Discussion and Analysis of Financial Condition and Results of Operations” as well as our financial statements and the related notes included elsewhere in this prospectus.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8"/>
              </w:rPr>
              <w:t>As of June 30, 2023</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8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0"/>
                <w:szCs w:val="10"/>
                <w:color w:val="auto"/>
              </w:rPr>
            </w:pPr>
          </w:p>
        </w:tc>
        <w:tc>
          <w:tcPr>
            <w:tcW w:w="1320" w:type="dxa"/>
            <w:vAlign w:val="bottom"/>
            <w:gridSpan w:val="3"/>
            <w:vMerge w:val="restart"/>
          </w:tcPr>
          <w:p>
            <w:pPr>
              <w:jc w:val="right"/>
              <w:ind w:right="533"/>
              <w:spacing w:after="0"/>
              <w:rPr>
                <w:sz w:val="20"/>
                <w:szCs w:val="20"/>
                <w:color w:val="auto"/>
              </w:rPr>
            </w:pPr>
            <w:r>
              <w:rPr>
                <w:rFonts w:ascii="Arial" w:cs="Arial" w:eastAsia="Arial" w:hAnsi="Arial"/>
                <w:sz w:val="14"/>
                <w:szCs w:val="14"/>
                <w:b w:val="1"/>
                <w:bCs w:val="1"/>
                <w:color w:val="auto"/>
                <w:w w:val="99"/>
              </w:rPr>
              <w:t>Pro Forma</w:t>
            </w: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114,381</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138,676</w:t>
            </w:r>
          </w:p>
        </w:tc>
        <w:tc>
          <w:tcPr>
            <w:tcW w:w="580" w:type="dxa"/>
            <w:vAlign w:val="bottom"/>
            <w:tcBorders>
              <w:top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7"/>
              </w:rPr>
              <w:t>(1)</w:t>
            </w: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341,457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line="250" w:lineRule="exact"/>
              <w:rPr>
                <w:sz w:val="20"/>
                <w:szCs w:val="20"/>
                <w:color w:val="auto"/>
              </w:rPr>
            </w:pPr>
            <w:r>
              <w:rPr>
                <w:rFonts w:ascii="Arial" w:cs="Arial" w:eastAsia="Arial" w:hAnsi="Arial"/>
                <w:sz w:val="18"/>
                <w:szCs w:val="18"/>
                <w:color w:val="auto"/>
              </w:rPr>
              <w:t>Financial Liabilities – current portion</w:t>
            </w:r>
            <w:r>
              <w:rPr>
                <w:rFonts w:ascii="Arial" w:cs="Arial" w:eastAsia="Arial" w:hAnsi="Arial"/>
                <w:sz w:val="26"/>
                <w:szCs w:val="26"/>
                <w:color w:val="auto"/>
                <w:vertAlign w:val="superscript"/>
              </w:rPr>
              <w:t>(6)</w:t>
            </w: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vMerge w:val="restart"/>
          </w:tcPr>
          <w:p>
            <w:pPr>
              <w:jc w:val="right"/>
              <w:ind w:right="353"/>
              <w:spacing w:after="0"/>
              <w:rPr>
                <w:sz w:val="20"/>
                <w:szCs w:val="20"/>
                <w:color w:val="auto"/>
              </w:rPr>
            </w:pPr>
            <w:r>
              <w:rPr>
                <w:rFonts w:ascii="Arial" w:cs="Arial" w:eastAsia="Arial" w:hAnsi="Arial"/>
                <w:sz w:val="13"/>
                <w:szCs w:val="13"/>
                <w:color w:val="auto"/>
                <w:w w:val="87"/>
              </w:rPr>
              <w:t>(2)</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5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Financial Liabilities – non-current portion</w:t>
            </w:r>
            <w:r>
              <w:rPr>
                <w:rFonts w:ascii="Arial" w:cs="Arial" w:eastAsia="Arial" w:hAnsi="Arial"/>
                <w:sz w:val="25"/>
                <w:szCs w:val="25"/>
                <w:color w:val="auto"/>
                <w:vertAlign w:val="superscript"/>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43,747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3"/>
              <w:spacing w:after="0" w:line="216" w:lineRule="exact"/>
              <w:rPr>
                <w:sz w:val="20"/>
                <w:szCs w:val="20"/>
                <w:color w:val="auto"/>
              </w:rPr>
            </w:pPr>
            <w:r>
              <w:rPr>
                <w:rFonts w:ascii="Arial" w:cs="Arial" w:eastAsia="Arial" w:hAnsi="Arial"/>
                <w:sz w:val="17"/>
                <w:szCs w:val="17"/>
                <w:color w:val="auto"/>
              </w:rPr>
              <w:t>74,483</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74,483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Equity attributable to shareholders: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€0.01 par value: 42,547,568 shares outstanding actual; 42,547,568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 and 62,873,068 shares outstanding pro forma as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Premiums related to share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275,383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53"/>
              <w:spacing w:after="0" w:line="216" w:lineRule="exact"/>
              <w:rPr>
                <w:sz w:val="20"/>
                <w:szCs w:val="20"/>
                <w:color w:val="auto"/>
              </w:rPr>
            </w:pPr>
            <w:r>
              <w:rPr>
                <w:rFonts w:ascii="Arial" w:cs="Arial" w:eastAsia="Arial" w:hAnsi="Arial"/>
                <w:sz w:val="17"/>
                <w:szCs w:val="17"/>
                <w:color w:val="auto"/>
                <w:w w:val="95"/>
              </w:rPr>
              <w:t>276,387</w:t>
            </w:r>
            <w:r>
              <w:rPr>
                <w:rFonts w:ascii="Arial" w:cs="Arial" w:eastAsia="Arial" w:hAnsi="Arial"/>
                <w:sz w:val="25"/>
                <w:szCs w:val="25"/>
                <w:color w:val="auto"/>
                <w:w w:val="95"/>
                <w:vertAlign w:val="superscript"/>
              </w:rPr>
              <w:t>(4)</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477,258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(143,366)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w w:val="88"/>
              </w:rPr>
              <w:t>(143,366)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(143,366)</w:t>
            </w:r>
          </w:p>
        </w:tc>
        <w:tc>
          <w:tcPr>
            <w:tcW w:w="0" w:type="dxa"/>
            <w:vAlign w:val="bottom"/>
          </w:tcPr>
          <w:p>
            <w:pPr>
              <w:spacing w:after="0"/>
              <w:rPr>
                <w:sz w:val="1"/>
                <w:szCs w:val="1"/>
                <w:color w:val="auto"/>
              </w:rPr>
            </w:pPr>
          </w:p>
        </w:tc>
      </w:tr>
      <w:tr>
        <w:trPr>
          <w:trHeight w:val="216"/>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Net loss for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(51,953)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93"/>
              <w:spacing w:after="0" w:line="216" w:lineRule="exact"/>
              <w:rPr>
                <w:sz w:val="20"/>
                <w:szCs w:val="20"/>
                <w:color w:val="auto"/>
              </w:rPr>
            </w:pPr>
            <w:r>
              <w:rPr>
                <w:rFonts w:ascii="Arial" w:cs="Arial" w:eastAsia="Arial" w:hAnsi="Arial"/>
                <w:sz w:val="17"/>
                <w:szCs w:val="17"/>
                <w:color w:val="auto"/>
              </w:rPr>
              <w:t>(49,992)</w:t>
            </w:r>
            <w:r>
              <w:rPr>
                <w:rFonts w:ascii="Arial" w:cs="Arial" w:eastAsia="Arial" w:hAnsi="Arial"/>
                <w:sz w:val="25"/>
                <w:szCs w:val="25"/>
                <w:color w:val="auto"/>
                <w:vertAlign w:val="superscript"/>
              </w:rPr>
              <w:t>(5)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(49,992)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80,489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83,454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284,528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136,903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163,249</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364,323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0" w:hanging="424"/>
        <w:spacing w:after="0" w:line="253"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the receipt of (i) €23.5 million in net proceeds from the drawdown of the first tranche of the Kreos / Claret Financing net of debt issuance costs (€25.0 million in gross proceeds) of which €9.1 million were used to repay all outstanding amounts that remained due under the First KC Agreement and the Second KC Agreement as of June 30, 2023 and (ii) €35.0 million in net proceeds from the drawdown of the first tranche of the Heights Financing net of debt issuance costs (€35.0 million in gross proceeds) of which €25.1 million were used to repay all outstanding amounts of that remained due under the OCEANE bonds.</w:t>
      </w:r>
    </w:p>
    <w:p>
      <w:pPr>
        <w:spacing w:after="0" w:line="3"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the repayment of the current portion of the amounts due under the First KC Agreement and the Second KC Agreement of €7.2 million and accrued interest due on the OCEANE bonds of €0.1 million as of the date of extinguishment.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hanging="424"/>
        <w:spacing w:after="0" w:line="285"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Reflects (i) the extinguishment of the fair value of the OCEANE bonds of €24.3 million offset by the recording of the fair value of the Heights Convertible Notes of €32.6 million, (ii) the recognition of the Kreos / Claret OCABSA of €25.0 million, net of €2.6 million in unamortized debt discount and issuance costs related to the Kreos / Claret Financing and the Heights Financing, (iii) the recording of €2.1 million of the warrants as a derivative liability issued in a separate warrant agreement in connection with the first tranche of the Kreos / Claret Financing and (iv) the repayment of the non-current portion of the amount due under the First KC Agreement and Second KC Agreement of €2.1 million.</w:t>
      </w:r>
    </w:p>
    <w:p>
      <w:pPr>
        <w:spacing w:after="0" w:line="1"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the recording of the warrants attached to the Kreos / Claret OCABSA, classified as equity, in the amount of €1.0 million, which become exercisable upon our election to prepay the Kreos / Claret OCABSA and in the event of the absence of the conversion notice from its bondholders for the full amount of the prepayment.</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a gain of €2.4 million recorded upon the recognition of the Heights Convertible Notes at fair value, a loss of €0.7 million upon the repayment of the OCEANE bonds and a gain of €0.3 million upon the repayment of the amounts outstanding under the First KC Agreement and the Second KC Agreement.</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borrowings, convertible loan notes and other financial liabilities as shown in Note 15 - Financial Liabilities to our unaudited interim condensed consolidated financial statements included elsewhere in this prospectus.</w:t>
      </w:r>
    </w:p>
    <w:p>
      <w:pPr>
        <w:ind w:left="540" w:right="380" w:hanging="424"/>
        <w:spacing w:after="0" w:line="290"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borrowings, convertible loan notes, derivative instruments, royalty certificates and other financial liabilities as shown in Note 15 - Financial Liabilities to our unaudited interim condensed consolidated financial statements included elsewhere in this prospectus.</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the number of ordinary shares (including ordinary shares in the form of ADSs) that will be outstanding after the global offering is based on 42,547,568 ordinary shares outstanding as of June 30, 2023 and excludes:</w:t>
      </w:r>
    </w:p>
    <w:p>
      <w:pPr>
        <w:spacing w:after="0" w:line="76" w:lineRule="exact"/>
        <w:rPr>
          <w:sz w:val="20"/>
          <w:szCs w:val="20"/>
          <w:color w:val="auto"/>
        </w:rPr>
      </w:pPr>
    </w:p>
    <w:p>
      <w:pPr>
        <w:jc w:val="both"/>
        <w:ind w:left="1080" w:hanging="424"/>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308,984 ordinary shares issuable upon the exercise of share warrants (BSA) outstanding as of June 30, 2023 at a weighted-average exercise price of €7.57 per ordinary share (or $8.27 based on the exchange rate in effect as of June 30, 2023), which figure includes 32,800 ordinary shares that were issued pursuant to exercises of share warrants (BSA) subsequent to June 30, 2023;</w:t>
      </w:r>
    </w:p>
    <w:p>
      <w:pPr>
        <w:spacing w:after="0" w:line="70" w:lineRule="exact"/>
        <w:rPr>
          <w:rFonts w:ascii="Arial" w:cs="Arial" w:eastAsia="Arial" w:hAnsi="Arial"/>
          <w:sz w:val="17"/>
          <w:szCs w:val="17"/>
          <w:color w:val="auto"/>
        </w:rPr>
      </w:pPr>
    </w:p>
    <w:p>
      <w:pPr>
        <w:ind w:left="1080" w:right="480" w:hanging="424"/>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385,409 ordinary shares issuable upon the exercise of founder’s share warrants (BCE) outstanding as of June 30, 2023 at a weighted-average exercise price of €9.64 per ordinary share (or $10.53 based on the exchange rate in effect as of June 30, 2023);</w:t>
      </w:r>
    </w:p>
    <w:p>
      <w:pPr>
        <w:spacing w:after="0" w:line="29" w:lineRule="exact"/>
        <w:rPr>
          <w:rFonts w:ascii="Arial" w:cs="Arial" w:eastAsia="Arial" w:hAnsi="Arial"/>
          <w:sz w:val="16"/>
          <w:szCs w:val="16"/>
          <w:color w:val="auto"/>
        </w:rPr>
      </w:pPr>
    </w:p>
    <w:p>
      <w:pPr>
        <w:ind w:left="1080" w:right="20" w:hanging="424"/>
        <w:spacing w:after="0" w:line="270"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4,413,543 ordinary shares reserved for future issuance as of June 30, 2023 under our share-based compensation plans and other delegations of authority from our shareholders, which include (i) 1,482,796 ordinary shares issuable upon the vesting of free shares (AGA) allocated to certain of our officers and employees in July 2023, of which 106,369 free shares (AGA) are subject to vesting conditions that include the successful completion of this offering with at least $100.0 million in gross proceeds, and (ii) 985,750 ordinary shares issuable upon the vesting of free shares (AGA) allocated to certain of our officers and employees in September 2023, of which 254,250 free shares (AGA) are subject to vesting conditions that include the successful completion of this offering with at least $200.0 million in gross proceeds. For additional details regarding the vesting conditions of the foregoing free shares (AGA), please see the section of this prospectus titled “Certain Relationships and Related Person Transactions—Arrangements with our Directors and Executive Officers—Free Shares (</w:t>
      </w:r>
      <w:r>
        <w:rPr>
          <w:rFonts w:ascii="Arial" w:cs="Arial" w:eastAsia="Arial" w:hAnsi="Arial"/>
          <w:sz w:val="17"/>
          <w:szCs w:val="17"/>
          <w:i w:val="1"/>
          <w:iCs w:val="1"/>
          <w:color w:val="auto"/>
        </w:rPr>
        <w:t>attributions gratuites d’actions</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1,178,084 ordinary shares issuable upon the conversion of the Kreos / Claret OCABSA issued to KC and Claret in connection with the drawdown of the first tranche of the Kreos / Claret Financing, at a conversion price of €21.22 per ordinary share (or $23.17 based on the exchange rate in effect as of June 30, 2023);</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214,198 ordinary shares issuable upon the exercise of share warrants (BSA) issued to KC and Claret in connection with the drawdown of the first tranche of the Kreos / Claret Financing, at an exercise price of €18.67 per ordinary share (or $20.39 based on the exchange rate in effect as of June 30, 2023);</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279,273 ordinary shares issuable upon the exercise of share warrants (BSA) that could be issued to KC and Claret in connection with the future drawdown of the second and third tranches of the Kreos / Claret Financing, assuming an exercise price of €14.32 per ordinary share (or $15.64 based on the exchange rate in effect as of June 30, 2023), which represents a 10% premium to the 15-day VWAP price of our ordinary shares as of the date of this prospectus;</w:t>
      </w:r>
    </w:p>
    <w:p>
      <w:pPr>
        <w:spacing w:after="0" w:line="92"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1,472,606 ordinary shares issuable upon the conversion of the Heights Convertible Notes in connection with the drawdown of the first tranche of the Heights Financing, at a conversion price of €23.77 per ordinary share (or $25.96 based on the exchange rate in effect as of June 30, 2023) and up to 2,830,201 ordinary shares issuable in the event of repayment in ordinary shares of the principal and interest of the Heights Convertible Notes, assuming a price of €14.43 per ordinary share (or $15.76 based on the exchange rate in effect as of June 30, 2023) retained for the repayment and;</w:t>
      </w:r>
    </w:p>
    <w:p>
      <w:pPr>
        <w:spacing w:after="0" w:line="93"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2,363,079 ordinary shares issuable upon the conversion of the Heights Convertible Notes that could be issued to Heights in connection with the future drawdown of the second tranche of the Heights Financing, assuming a conversion price of €16.93 per ordinary share (or $18.48 based on the exchange rate in effect as of June 30, 2023), which represents a 30% premium to the 15-day VWAP price of our ordinary shares as of the date of this prospectus, and up to 4,125,743 ordinary shares issuable in the event of repayment in ordinary shares of the principal and interest of the second tranche of the Heights Convertible Notes, assuming a price of €11.07 per ordinary share (or $12.09 based on the exchange rate in effect as of June 30, 2023) retained for the repayment, which represents a 15% discount to the 15-day VWAP price of our ordinary shares as of the date of this prospectus.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additional details relating to the Kreos / Claret Financing and the Heights Financing, see “Business—Key Collaborations and Partners— Financing Arrangements.” References to outstanding ordinary shares included in this prospectus include 11,487 treasury shares issued by us as of June 30, 2023. Except as otherwise noted, the information in this prospectus assumes no exercise by the underwriters of their option to purchase 3,048,825 additional ADS and/or ordinary shares in the global offering and no exercise of share warrants (BSA), founder’s share warrants (BCE) or vesting of free shares (AGA) or other equity awards subsequent to June 30, 2023.</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you invest in our ordinary shares or ADSs in the global offering, your ownership interest will be diluted to the extent of the difference between the public offering price per ordinary share or ADS paid by purchasers in the global offering and the pro forma as adjusted net tangible book value per ordinary share or ADS, as applicable, after completion of the global offering.</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net tangible book value as of June 30, 2023 was €55.5 million ($60.6 million), or €1.30 per ordinary share ($1.42 per ADS), based on the exchange rate of €1.00 = $1.0919 as of June 30, 2023. Net tangible book value per ordinary share is determined by dividing (i) our total assets less our intangible assets, our goodwill and our total liabilities by (ii) the number of ordinary shares outstanding as of June 30, 2023 or 42,547,568 ordinary shares.</w:t>
      </w:r>
    </w:p>
    <w:p>
      <w:pPr>
        <w:spacing w:after="0" w:line="187"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Our pro forma net tangible book value as of June 30, 2023 was €58.4 million ($63.8 million), or €1.37 per ordinary share ($1.50 per ADS), based on the exchange rate of €1.00 = $1.0919 as of June 30, 2023. Pro forma net tangible book value per ordinary share is our net tangible book value as of June 30, 2023, after giving effect to the (i) issuance of the Kreos / Claret OCABSA in the amount of €25.0 million in gross proceeds, (ii) issuance of the Heights Convertible Notes (based on a valuation as of August 24, 2023) in the amount of €35.0 million in gross proceeds and (iii) repayments of all outstanding amounts that remained due under the First KC Agreement, the Second KC Agreement and the OCEANE bonds in the amount of</w:t>
      </w:r>
    </w:p>
    <w:p>
      <w:pPr>
        <w:spacing w:after="0" w:line="2"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€34.2 million (outstanding as of June 30, 2023). The Kreos / Claret Financing and the Heights Convertible Notes consist of elements that need to be fair valued under IFRS. We have performed a preliminary valuation to estimate the fair value for the purposes of preparing the pro forma as adjusted figures in the table below and therefore such figures may be subject to further adjustments.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giving effect to the receipt of the estimated net proceeds from our sale of 20,325,500 ordinary shares (which may be in the form of ADSs)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global offering, at the initial offering price of €10.9864 per ordinary share ($11.60 per ADS), and after deducting the underwriting commissions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estimated offering expenses payable by us, our pro forma as adjusted net tangible book value as of June 30, 2023 would have been €259.5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($276.0 million), or €4.13 per ordinary share ($4.39 per ADS). This represents an immediate increase in pro forma net tangible book value of €2.75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 ($2.89 per ADS) to existing shareholders and an immediate dilution in net tangible book value of €6.86 per ordinary share ($7.21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to new investors.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this dilution on a per ordinary share and per ADS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2"/>
              </w:rPr>
              <w:t>As of June 30, 2023</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1440" w:type="dxa"/>
            <w:vAlign w:val="bottom"/>
            <w:gridSpan w:val="5"/>
          </w:tcPr>
          <w:p>
            <w:pPr>
              <w:jc w:val="right"/>
              <w:ind w:right="440"/>
              <w:spacing w:after="0" w:line="119" w:lineRule="exact"/>
              <w:rPr>
                <w:sz w:val="20"/>
                <w:szCs w:val="20"/>
                <w:color w:val="auto"/>
              </w:rPr>
            </w:pPr>
            <w:r>
              <w:rPr>
                <w:rFonts w:ascii="Arial" w:cs="Arial" w:eastAsia="Arial" w:hAnsi="Arial"/>
                <w:sz w:val="13"/>
                <w:szCs w:val="13"/>
                <w:b w:val="1"/>
                <w:bCs w:val="1"/>
                <w:color w:val="auto"/>
              </w:rPr>
              <w:t>Per Ordinary</w:t>
            </w:r>
          </w:p>
        </w:tc>
        <w:tc>
          <w:tcPr>
            <w:tcW w:w="12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offering price per ordinary share</w:t>
            </w: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10.99</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ordinary share or ADS</w:t>
            </w:r>
          </w:p>
        </w:tc>
        <w:tc>
          <w:tcPr>
            <w:tcW w:w="780" w:type="dxa"/>
            <w:vAlign w:val="bottom"/>
            <w:gridSpan w:val="3"/>
          </w:tcPr>
          <w:p>
            <w:pPr>
              <w:jc w:val="right"/>
              <w:ind w:right="288"/>
              <w:spacing w:after="0"/>
              <w:rPr>
                <w:sz w:val="20"/>
                <w:szCs w:val="20"/>
                <w:color w:val="auto"/>
              </w:rPr>
            </w:pPr>
            <w:r>
              <w:rPr>
                <w:rFonts w:ascii="Arial" w:cs="Arial" w:eastAsia="Arial" w:hAnsi="Arial"/>
                <w:sz w:val="18"/>
                <w:szCs w:val="18"/>
                <w:color w:val="auto"/>
                <w:w w:val="88"/>
              </w:rPr>
              <w:t>€1.30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Increase in net tangible book value per ordinary share or ADS attributable to the pro forma adjustments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described above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3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ordinary share or ADS as of June 30, 2023</w:t>
            </w: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Increase in pro forma net tangible book value per ordinary share or ADS attributable to new investors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participating in the global offering</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Pro forma as adjusted net tangible book value per ordinary share or ADS after the global offering</w:t>
            </w:r>
          </w:p>
        </w:tc>
        <w:tc>
          <w:tcPr>
            <w:tcW w:w="4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ordinary share or ADS to new investors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participating in the global offering</w:t>
            </w: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5420"/>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3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the underwriters exercise their option to purchase 3,048,825 additional ordinary shares and/or ADSs in full, the pro forma as adjusted net tangible book value per ordinary share after the offering would be €4.41 per ordinary share ($4.69 per ADS), the increase in the pro forma as adjusted net tangible book value to existing shareholders would be €0.28 per ordinary share ($0.30 per ADS), and the dilution to new investors participating in the offering would be €6.58 per ordinary share ($6.91 per ADS).</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following table sets forth, as of June 30, 2023, the number of ordinary shares purchased from us, the total consideration paid to us and the average price per ordinary share paid by existing shareholders and to be paid by new investors participating in the global offering, at the initial offering price of €10.9864 per ordinary share ($11.60 per ADS), after deducting the underwriting commissions and estimated offering expenses payable by us.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Ordinary Shares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0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(Which May Be In</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02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The Form Of ADSs)</w:t>
            </w: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Weighted-</w:t>
            </w:r>
          </w:p>
        </w:tc>
        <w:tc>
          <w:tcPr>
            <w:tcW w:w="7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0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Purchased From</w:t>
            </w:r>
          </w:p>
        </w:tc>
        <w:tc>
          <w:tcPr>
            <w:tcW w:w="20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14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w w:val="89"/>
              </w:rPr>
              <w:t>Us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Ordinary</w:t>
            </w: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Share</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rPr>
              <w:t>ADS</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42,547,568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€ 333,932,000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New investors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20,325,500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32.3%</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€ 223,303,325</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62,873,068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€ 557,235,325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table above assumes no exercise of the underwriters’ option to purchase 3,048,825 additional ADS and/or ordinary shares in the global offering and no exercise of share warrants (BSA), founder’s share warrants (BCE) or vesting of free shares (AGA) or other equity awards subsequent to June 30, 2023. If the underwriters exercise their option to purchase 3,048,825 additional ADSs and/or ordinary shares (which may be in the form of ADSs) in full, the number of ordinary shares held by the existing shareholders after the global offering would be reduced to 64.5% of the total number of ordinary shares (including ordinary shares represented by ADSs) outstanding after the global offering, and the number of shares held by new investors participating in the global offering (including ordinary shares represented by ADSs) would increase to 35.5% of the total number of ordinary shares outstanding after the global offering (including ordinary shares represented by ADSs).</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the number of ordinary shares (including ordinary shares in the form of ADSs) that will be outstanding after the global offering is based on 42,547,568 ordinary shares outstanding as of June 30, 2023 and excludes:</w:t>
      </w:r>
    </w:p>
    <w:p>
      <w:pPr>
        <w:spacing w:after="0" w:line="76" w:lineRule="exact"/>
        <w:rPr>
          <w:sz w:val="20"/>
          <w:szCs w:val="20"/>
          <w:color w:val="auto"/>
        </w:rPr>
      </w:pPr>
    </w:p>
    <w:p>
      <w:pPr>
        <w:jc w:val="both"/>
        <w:ind w:left="1080" w:hanging="424"/>
        <w:spacing w:after="0" w:line="286"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308,984 ordinary shares issuable upon the exercise of share warrants (BSA) outstanding as of June 30, 2023 at a weighted-average exercise price of €7.57 per ordinary share (or $8.27 based on the exchange rate in effect as of June 30, 2023), which figure includes 32,800 ordinary shares that were issued pursuant to exercises of share warrants (BSA) subsequent to June 30, 2023;</w:t>
      </w:r>
    </w:p>
    <w:p>
      <w:pPr>
        <w:spacing w:after="0" w:line="70" w:lineRule="exact"/>
        <w:rPr>
          <w:rFonts w:ascii="Arial" w:cs="Arial" w:eastAsia="Arial" w:hAnsi="Arial"/>
          <w:sz w:val="17"/>
          <w:szCs w:val="17"/>
          <w:color w:val="auto"/>
        </w:rPr>
      </w:pPr>
    </w:p>
    <w:p>
      <w:pPr>
        <w:ind w:left="1080" w:right="480" w:hanging="424"/>
        <w:spacing w:after="0" w:line="34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385,409 ordinary shares issuable upon the exercise of founder’s share warrants (BCE) outstanding as of June 30, 2023 at a weighted-average exercise price of €9.64 per ordinary share (or $10.53 based on the exchange rate in effect as of June 30, 2023);</w:t>
      </w:r>
    </w:p>
    <w:p>
      <w:pPr>
        <w:spacing w:after="0" w:line="29" w:lineRule="exact"/>
        <w:rPr>
          <w:rFonts w:ascii="Arial" w:cs="Arial" w:eastAsia="Arial" w:hAnsi="Arial"/>
          <w:sz w:val="16"/>
          <w:szCs w:val="16"/>
          <w:color w:val="auto"/>
        </w:rPr>
      </w:pPr>
    </w:p>
    <w:p>
      <w:pPr>
        <w:ind w:left="1080" w:right="20" w:hanging="424"/>
        <w:spacing w:after="0" w:line="272"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4,413,543 ordinary shares reserved for future issuance as of June 30, 2023 under our share-based compensation plans and other delegations of authority from our shareholders, which include (i) 1,482,796 ordinary shares issuable upon the vesting of free shares (AGA) allocated to certain of our officers and employees in July 2023, of which 106,369 free shares (AGA) are subject to vesting conditions that include the successful completion of this offering with at least $100.0 million in gross proceeds, and (ii) 985,750 ordinary shares issuable upon the vesting of free shares (AGA) allocated to certain of our officers and employees in September 2023, of which 254,250 free shares (AGA) are subject to vesting conditions that include the successful completion of this offering with at least $200.0 million in gross proceeds. For additional details regarding the vesting conditions of the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20"/>
        <w:spacing w:after="0" w:line="277" w:lineRule="auto"/>
        <w:rPr>
          <w:sz w:val="20"/>
          <w:szCs w:val="20"/>
          <w:color w:val="auto"/>
        </w:rPr>
      </w:pPr>
      <w:r>
        <w:rPr>
          <w:rFonts w:ascii="Arial" w:cs="Arial" w:eastAsia="Arial" w:hAnsi="Arial"/>
          <w:sz w:val="18"/>
          <w:szCs w:val="18"/>
          <w:color w:val="auto"/>
        </w:rPr>
        <w:t>foregoing free shares (AGA), please see the section of this prospectus titled “Certain Relationships and Related Person Transactions— Arrangements with our Directors and Executive Officers—Free Shares (</w:t>
      </w:r>
      <w:r>
        <w:rPr>
          <w:rFonts w:ascii="Arial" w:cs="Arial" w:eastAsia="Arial" w:hAnsi="Arial"/>
          <w:sz w:val="18"/>
          <w:szCs w:val="18"/>
          <w:i w:val="1"/>
          <w:iCs w:val="1"/>
          <w:color w:val="auto"/>
        </w:rPr>
        <w:t>attributions gratuites d’actions</w:t>
      </w:r>
      <w:r>
        <w:rPr>
          <w:rFonts w:ascii="Arial" w:cs="Arial" w:eastAsia="Arial" w:hAnsi="Arial"/>
          <w:sz w:val="18"/>
          <w:szCs w:val="18"/>
          <w:color w:val="auto"/>
        </w:rPr>
        <w:t>)”;</w:t>
      </w:r>
    </w:p>
    <w:p>
      <w:pPr>
        <w:spacing w:after="0" w:line="76" w:lineRule="exact"/>
        <w:rPr>
          <w:sz w:val="20"/>
          <w:szCs w:val="20"/>
          <w:color w:val="auto"/>
        </w:rPr>
      </w:pPr>
    </w:p>
    <w:p>
      <w:pPr>
        <w:ind w:left="1080" w:right="20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1,178,084 ordinary shares issuable upon the conversion of the Kreos / Claret OCABSA issued to KC and Claret in connection with the drawdown of the first tranche of the Kreos / Claret Financing, at a conversion price of €21.22 per ordinary share (or $23.17 based on the exchange rate in effect as of June 30, 2023);</w:t>
      </w:r>
    </w:p>
    <w:p>
      <w:pPr>
        <w:spacing w:after="0" w:line="89"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214,198 ordinary shares issuable upon the exercise of share warrants (BSA) issued to KC and Claret in connection with the drawdown of the first tranche of the Kreos / Claret Financing, at an exercise price of €18.67 per ordinary share (or $20.39 based on the exchange rate in effect as of June 30, 2023);</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279,273 ordinary shares issuable upon the exercise of share warrants (BSA) that could be issued to KC and Claret in connection with the future drawdown of the second and third tranches of the Kreos / Claret Financing, assuming an exercise price of €14.32 per ordinary share (or $15.64 based on the exchange rate in effect as of June 30, 2023), which represents a 10% premium to the 15-day VWAP price of our ordinary shares as of the date of this prospectus;</w:t>
      </w:r>
    </w:p>
    <w:p>
      <w:pPr>
        <w:spacing w:after="0" w:line="92"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1,472,606 ordinary shares issuable upon the conversion of the Heights Convertible Notes in connection with the drawdown of the first tranche of the Heights Financing, at a conversion price of €23.77 per ordinary share (or $25.96 based on the exchange rate in effect as of June 30, 2023) and up to 2,830,201 ordinary shares issuable in the event of repayment in ordinary shares of the principal and interest of the Heights Convertible Notes, assuming a price of €14.43 per ordinary share (or $15.76 based on the exchange rate in effect as of June 30, 2023) retained for the repayment; and</w:t>
      </w:r>
    </w:p>
    <w:p>
      <w:pPr>
        <w:spacing w:after="0" w:line="93"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2,363,079 ordinary shares issuable upon the conversion of the Heights Convertible Notes that could be issued to Heights in connection with the future drawdown of the second tranche of the Heights Financing, assuming a conversion price of €16.93 per ordinary share (or $18.48 based on the exchange rate in effect as of June 30, 2023), which represents a 30% premium to the 15-day VWAP price of our ordinary shares as of the date of this prospectus, and up to 4,125,743 ordinary shares issuable in the event of repayment in ordinary shares of the principal and interest of the second tranche of the Heights Convertible Notes, assuming a price of €11.07 per ordinary share (or $12.09 based on the exchange rate in effect as of June 30, 2023) retained for the repayment, which represents a 15% discount to the 15-day VWAP price of our ordinary shares as of the date of this prospectus.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additional details relating to the Kreos / Claret Financing and the Heights Financing, see “Business—Key Collaborations and Partners— Financing Arrangements.” References to outstanding ordinary shares included in this prospectus include 11,487 treasury shares issued by us as of June 30, 2023. Except as otherwise noted, the information in this prospectus assumes no exercise by the underwriters of their option to purchase 3,048,825 additional ADS and/or ordinary shares in the global offering and no exercise of share warrants (BSA), founder’s share warrants (BCE) or vesting of free shares (AGA) or other equity awards subsequent to June 30, 2023.</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France. The majority of our directors and officers are residents of countries other than the United States, and the majority of our assets are located outside of the United States. We have appointed an agent for service of process in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U.S. investors may find it difficult and may be unable: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obtain jurisdiction over us or our officers and directors in U.S. courts in actions predicated on the civil liability provisions of the U.S. federal securities laws;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enforce, either inside or outside of the United States, judgments obtained in U.S. or non-U.S. courts in actions predicated upon the civil liability provisions of the U.S. federal securities laws against us or our officers and directors;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bring an original action in a French court to enforce liabilities based upon the U.S. federal securities laws against us or our officers or directors;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enforce against us or our directors our non-U.S. courts, including French courts, judgments of U.S. courts predicated upon the civil liability provisions of the U.S. federal securities laws.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actions in the United States under U.S. federal securities laws could be affected under certain circumstances by French Law No. 68-678 of July 26, 1968, as amended by French Law No. 80-538 of July 16, 1980 and French Ordinance No. 2000-916 of September 19, 2000 (relating to the communication of documents and information of an economic, commercial, industrial, financial or technical nature to foreign authorities or persons), which may preclude or restrict the obtaining of evidence in France or from French persons in connection with those actions.</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(i) that judgment does not contravene international public order and public policy of France, both pertaining to the merits and to the standards of due process; and (ii) the dispute is clearly connected to the territory of the court which rendered the judgement, and French courts did not have exclusive jurisdiction on the matter. The French court would also require that the U.S. judgment is not tainted with fraud and is not incompatible with a judgment rendered by a French court in the same matter, or with an earlier judgment rendered by a foreign court which has become effective in France in the same matter.</w:t>
      </w:r>
    </w:p>
    <w:p>
      <w:pPr>
        <w:spacing w:after="0" w:line="1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judgement awarding punitive and exemplary damages well above actual damages would be granted enforcement in France.</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Finally,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financial statements and the related notes thereto included elsewhere in this prospectus. In addition to historical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prospectus, particularly in the sections titled “Risk Factors” and “Cautionary Note Regarding Forward-Looking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a clinical-stage biotechnology company focused on developing therapeutics that harness the body’s natural regulatory mechanisms to modulate the immune response in patients with chronic inflammatory diseases. We are currently evaluating our lead drug candidate, obefazimod, in Phase 3 clinical trials for the treatment of adults with moderately to severely active ulcerative colitis (“UC”). We are also in the planning stages of initiating a Phase 2a clinical trial of obefazimod in patients with Crohn’s disease (“CD”), as well as evaluating other potential inflammatory indications.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inflammatory bowel diseases (“IBD”), chronic conditions involving inflammation of the gastrointestinal tract, of which the two most common forms are UC and CD. As of 2022, an aggregate of approximately 2.9 million patients across the United States, EU4 (France, Germany, Italy and Spain), the United Kingdom and Japan suffered from IBD, with 1.5 million of these patients in the United States alone.</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team is comprised of industry leaders in the fields of biology, data analytics and drug development, as well as scientific experts in chronic inflammatory diseases, including IBD. We are led by Marc de Garidel, our Chief Executive Officer, who has more than 40 years of experience in the pharmaceutical and biotechnology sector.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16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on December 4, 2013 and, in 2014, we acquired Splicos, Wittycell and Zophis by means of a universal transfer of assets and liabilities (</w:t>
      </w:r>
      <w:r>
        <w:rPr>
          <w:rFonts w:ascii="Arial" w:cs="Arial" w:eastAsia="Arial" w:hAnsi="Arial"/>
          <w:sz w:val="16"/>
          <w:szCs w:val="16"/>
          <w:i w:val="1"/>
          <w:iCs w:val="1"/>
          <w:color w:val="auto"/>
        </w:rPr>
        <w:t>Transmission Universelle du Patrimoine</w:t>
      </w:r>
      <w:r>
        <w:rPr>
          <w:rFonts w:ascii="Arial" w:cs="Arial" w:eastAsia="Arial" w:hAnsi="Arial"/>
          <w:sz w:val="16"/>
          <w:szCs w:val="16"/>
          <w:color w:val="auto"/>
        </w:rPr>
        <w:t xml:space="preserve"> (“TUP”)). We have been listed on Euronext Paris since June 26, 2015.</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On April 1, 2022, we acquired 100% of the share capital of Prosynergia S.à.r.L (“Prosynergia”), a Luxembourg-based biotechnology company, with the aim of strengthening our research and development portfolio, for an amount of €3.25 million. On December 12, 2022, we completed the merger with Prosynergia through a TUP and all of Prosynergia’s assets and liabilities were transferred to us. Following the merger, Prosynergia was dissolved.</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March 20, 2023, our United States-based subsidiary Abivax LLC (the “Subsidiary”) was formed as a limited liability company under the laws of the State of Delaware. The Subsidiary hosts our operations in the United States. We have prepared unaudited interim condensed consolidated financial statements as of and for the six-month period ended June 30, 2023. As of June 30, 2023, the Subsidiary’s contribution to our consolidated results of operations was a net operating loss of €0.6 million.</w:t>
      </w:r>
    </w:p>
    <w:p>
      <w:pPr>
        <w:spacing w:after="0" w:line="18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Since our inception in 2013, we have devoted substantially all of our efforts to organizing and staffing our company, business planning, raising capital, establishing our intellectual property portfolio, acquiring or discovering drug candidates, research and development activities for obefazimod and other compounds, establishing arrangements with third parties for the manufacture of our drug candidates and component materials, and providing general and administrative support for these operations. We do not have any products approved for sale and have not generated any revenue from product sales or otherwise. We do not expect to generate significant revenue from product sales or royalties unless and until our drug candidates are approved for marketing and successfully commercialized.</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incurred significant operating losses since inception, and we expect to continue to incur significant expenses and operating losses for the foreseeable future. Our ability to generate product revenue sufficient to achieve profitability will depend heavily on the successful development and eventual commercialization of obefazimod and any future drug candidates. For the six-month periods ended June 30, 2023 and 2022 and the years ended December 31, 2022 and 2021, we reported net losses of €52.0 million, €21.2 million, €60.7 million and €42.5 million, respectively. As of June 30, 2023, we carried forward accumulated tax losses of €355.4 million. We expect to continue to incur net operating losses for at least the next several years, and we do not anticipate achieving profitability in the future unless we obtain regulatory approvals necessary to commercialize obefazimod and any additional drug that we may pursue in the future. We expect that our research and development expenses, general and administrative expenses, and capital expenditures will increase substantially in connection with our ongoing activities, particularly if and as we:</w:t>
      </w:r>
    </w:p>
    <w:p>
      <w:pPr>
        <w:spacing w:after="0" w:line="7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to advance our existing drug candidates through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timely and successfully complete clinical development of obefazimod, our clinical-stage drug candidate;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seek and maintain regulatory and marketing approvals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expand the scope of our current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begin new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 scale and validate our commercial manufacturing capabilities for our drug candidates;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drugs for which we may obtain regulatory and marketing approval for which we have not entered into a collaboration with a third-party;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seek to discover, identify and validate additional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make milestone, royalty or other payments under in-license or collaboration agreements;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 maintain, protect, enforce and expand our intellectual property portfolio;</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manufacture, or have manufactured, non-clinical, clinical and potentially commercial supplies of obefazimod and any future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attract new and retain existing clinical, scientific, operational, financial and management personnel;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incur additional legal, accounting, and other costs associated with operating as a U.S. public company following the completion of this offering.</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net losses may fluctuate significantly from period to period, depending on the timing of expenditures related to our research and development activities.</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a drug candidate. In particular, following the issuance of royalty certificates in September 2022 and other royalties that may become payable under our royalty agreements, the payment of royalties in the event of commercialization of obefazimod will result in a decrease in cash flows generated by sales of the product, which could have an unfavorable impact on our financial position, particularly at the beginning of the commercialization phase. In addition, if we obtain regulatory approval for a drug candidate and do not enter into a third-party commercialization partnership, we expect to incur significant expenses related to developing our commercialization capability to support product sales, marketing, manufacturing and distribution activities.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which could include collaborations, strategic alliances or additional licensing arrangements. We may be unable to raise additional funds or enter into such arrangements when needed, on favorable terms, or at all. Our failure to raise capital or enter into such agreements as, and when, needed, could have a material adverse effect on our business, results of operations and financial condition, including requiring us to have to delay, reduce or eliminate product development or future commercialization efforts. The amount and timing of our future funding requirements will depend on many factors, including the successful advancement of obefazimod or any future drug candidates. Our ability to raise additional funds may also be adversely impacted by potential worsening global economic conditions and disruptions to and volatility in the credit and financial markets in the United States and worldwide, such as those resulting from the ongoing war in Ukraine.</w:t>
      </w:r>
    </w:p>
    <w:p>
      <w:pPr>
        <w:spacing w:after="0" w:line="18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Because of the numerous risks and uncertainties associated with development of treatment of chronic inflammatory diseases,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Since inception, we have financed our operations through the issuance of ordinary shares with gross aggregate proceeds of €333.9 million, of which €130 million of gross proceeds were from offerings of our ordinary shares on Euronext Paris in February 2023, bank borrowings and structured loans for €125.0 million, reimbursements of CIR in an amount of €26.6 million, subsidies received from Bpifrance (including €13.5 million of subsidies and €6.6 million of conditional advances) and royalty certificates in an amount of €2.9 million.</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June 30, 2023, we had cash and cash equivalents of €114.4 million. We believe that based on our current clinical plan and on our anticipated net proceeds from this offering, together with (a) our existing cash and cash equivalents of €114.4 million as of June 30, 2023, (b) the net proceeds of the August 2023 drawdown of the first tranches of the Kreos / Claret Financing and the Heights Financing, collectively amounting to €27.2 million (net of repayments of all outstanding amounts that remained due under the First KC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Second KC Agreement and the OCEANE bonds), (c) the anticipated net proceeds from the drawdown of the second tranche of the Kreos / Claret Financing, amounting to €25 million (which is a portion of the total available drawdown of €65 million from the Kreos / Claret Financing and the Heights Financing) and (d) the expected Research Tax Credit (CIR) reimbursements would enable us to fund our operations through the fourth quarter of 2025. Under these assumptions and based on our current clinical plan, we would have sufficient funds to finance our operations through (i) the announcement of our top-line data from the Phase 3 ABTECT-1 and ABTECT-2 induction trials for UC and (ii) the announcement of our top-line data from the Phase 2a induction trial for CD.</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we further draw down on the third tranche of the Kreos / Claret Financing, amounting to €25 million and the second tranche of the Heights Financing amounting to €40 million, we expect to have sufficient funds to finance our operations through the first quarter of 2026. Under these assumptions and based on our current clinical plan, we would have sufficient funds to finance our operations through the announcement of our top-line data from the Phase 3 ABTECT maintenance trial for UC. For additional details relating to the Kreos / Claret Financing and the Heights Financing, see “Business—Key Collaborations and Partners—Financing Arrangements.”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This takes into account our assumption that R&amp;D expenditure will be substantially increased in 2023 driven by the progression of the Phase 3 clinical trials of obefazimod, which started enrollment of patients with moderately to severely active UC in October 2022. We have based this estimate on assumptions that may prove to be wrong, and we could utilize our available capital resources sooner than we expect. We anticipate that we will require additional capital as we seek regulatory approval of our drug candidates. We intend to assess and plan for any such funding requirements and aim to regularly update the market on our financing need projections. See “—Liquidity and Capital Resources.”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Beyond that date, our ability to fund operations will depend upon our ability to raise additional capital from existing and/or new specialized investors and/or debt from lenders. In particular, we may consider carrying out one or more capital increases, entering into loan agreements or issuing bonds and entering into regional licensing agreements for obefazimod, specifically targeting third-party partners in Asia. Our operating plans may change as a result of a variety of factors, and we may need to seek additional funds sooner than planned. In any event, we will require additional capital to pursue preclinical and clinical activities, obtain regulatory approval for and commercialize our drug candidates. If sufficient funds on acceptable terms are not available when needed, or at all, we could be required to significantly reduce our operating expenses and delay, reduce the scope of, or eliminate one or more of our development programs. See the subsection titled “—Liquidity and Capital Resources.”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audited financial statements as of, and for the years ended, December 31, 2022 and 2021 were prepared in accordance with International Financial Reporting Standards (“IFRS”), as issued by the International Accounting Standards Board (“IASB”).</w:t>
      </w:r>
    </w:p>
    <w:p>
      <w:pPr>
        <w:spacing w:after="0" w:line="170"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Our unaudited interim condensed consolidated financial statements as of June 30, 2023, and for the six-month periods ended June 30, 2023 and 2022 were prepared in accordance with IAS 34, Interim Financial Reporting, the standard of IFRS applicable to interim financial statements.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Factors Affecting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factors have affected, and we expect will continue to affect, our results of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Activities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Research and development activities are central to our business. Since our inception, most of our resources have been allocated to research and development and it accounts for the majority of our operating expenses.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320" w:top="459" w:right="5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year ended December 31, 2022, research and development expenses accounted for 87%, excluding goodwill impairment loss, of our total operating expenses, as compared to 90% for the year ended December 31, 2021. For the six-month period ended June 30, 2023, research and development expenses accounted for 83% of our total operating expenses, as compared to 87% (excluding goodwill impairment loss) for the six-month period ended June 30, 2022. Drug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in the foreseeable future as we seek to advance the development of our drug candidates. The successful development of our drug candidates remains highly uncertain.</w:t>
      </w:r>
    </w:p>
    <w:p>
      <w:pPr>
        <w:spacing w:after="0" w:line="19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At this time, we cannot accurately determine or estimate the nature, timing and costs of the research and development activities that will be necessary to complete the remainder of the development of obefazimod, and we may never succeed in obtaining regulatory approval for obefazimod or any future drug candidates we may develop. The duration, costs and timing of clinical trials and the development of our drug candidates will depend on numerous risks and uncertainties associated with clinical development, including risks and uncertainties related to:</w:t>
      </w:r>
    </w:p>
    <w:p>
      <w:pPr>
        <w:spacing w:after="0" w:line="77"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scope, progress, outcome and expenses of our clinical trials and other research and development activities;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 and successful patient enrollment in, and the initiation and completion of,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expense of filing,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regulatory approval;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obefazimod or any other drug candidate that we may develop in the future;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significant competition and rapidly changing technologies within the biopharmaceutical industry.</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change in the outcome of any of these variables with respect to the development of any of our drug candidates could significantly change the costs and timing associated with the development of that drug candidate. The actual probability of success for our drug candidates will be affected by a variety of factors, including the safety and efficacy of our drug candidates, investment in our clinical programs, manufacturing capability and competition with other products and drug candidates. As a result of these variables, we are unable to determine the duration and completion costs of our research and development projects or when and to what extent we may generate revenue from the commercialization and sale of our drug candidates.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Approval and Market Acceptance of our Drug Candidates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may never succeed in achieving regulatory approval for any of our drug candidates. We may obtain unexpected results from our clinical trials. We may elect to discontinue, delay or modify clinical trials of some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drug candidates or focus on others. A change in the outcome of any of these factors with respect to the development of drug candidates that we are developing could result in a significant change in the costs and timing associated with the development of such drug candidates. For example, if the EMA or the FDA or other regulatory authority were to require us to conduct non-clinical studies and clinical trials beyond those that we currently anticipate will be required for the completion of clinical development, or if we experience significant delays in enrollment in any clinical trials, we could be required to spend significant additional financial resources and time on the completion of clinical development.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and Debt Financing</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At this stage, we have not generated any revenue from sales of products or otherwise, and we do not expect to do so unless and until we successfully complete development of, obtain marketing approval for, and successfully commercialize, one or more of our drug candidates. Until such time that we can generate substantial revenue from sales of products, if ever, we expect to finance our operating activities through a combination of equity offerings, debt financings and government or other third-party funding. However,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others the rights to develop or market drug candidates that we would otherwise prefer to develop and market ourselves. Failure to receive additional funding could cause us to cease operations, in part or in full.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April 1, 2022, we acquired 100% of the share capital of Prosynergia with the aim of strengthening our research and development portfolio, for an amount of €3.25 million. On December 12, 2022, we completed the merger with Prosynergia through a TUP and all of Prosynergia’s assets and liabilities were transferred to us. Following the merger, Prosynergia was dissolved. Accordingly, as Prosynergia was dissolved in December 2022, we did not prepare consolidated financial statements as of December 31,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the Ukraine/Russia Hostilities on our Business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the world over. The global scale of this conflict cannot be predicted at this stage. We, therefore, cannot rule out an adverse impact of this conflict on our business, including in terms of access to raw materials, logistics, the performance of clinical trials and in relation to any future financing we may seek.</w:t>
      </w:r>
    </w:p>
    <w:p>
      <w:pPr>
        <w:spacing w:after="0" w:line="176"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Phase 2b maintenance trial of obefazimod in moderately to severely active UC is our only clinical trial currently in progress in Ukraine. We have, however, terminated a few trial sites since the Russia/Ukraine war 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We are also evaluating the possibility to include a few Ukrainian sites in the western part of Ukraine in the ABTECT Phase 3 clinical trials.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Together with our CRO, we are making considerable efforts to ensure the follow-up of patients who are unable to come to the study centers.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Monitoring takes place through a remote monitoring system that was established and used successfully during the COVID-19 pandemic.</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sets forth certain components of our results of operations, as well as factors that impact those items.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We have not generated any revenue from product sales or from other sources, and we do not expect to generate any revenue from the sale of products or otherwise, even if approved, in the near future. Our ability to generate revenue in the future, if ever, will depend almost entirely on our ability to successfully develop, obtain regulatory approval for, and then commercialize our drug candidates or conclude a partnering business development agreement within our product portfolio.</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Other operating income comprises subsidies in the form of non-refundable subsidies from Bpifrance and CIR, each as described below. Subsidies that are upfront payments are presented as deferred income and recognized as other income for the amount of the expenses incurred as part of the research program to which the subsidy relates. Subsidies that are received either as compensation for expenses or losses already incurred, or for our immediate financial support without associated future costs, are recognized as other income when there we have reasonable assurance that the subsidies will be received.</w:t>
      </w:r>
    </w:p>
    <w:p>
      <w:pPr>
        <w:spacing w:after="0" w:line="188"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Subsidies are non-repayable grants received by us. They are recognized in the financial statements in the period in which the related expenses are incurred when there is reasonable assurance that the subsidies will be received and that we will comply with their conditions. We have received various subsidies and other assistance from Bpifrance since our creation. The funds are intended to finance our operations or specific projects. See “—Liquidity and Capital Resources—Sources of Liquidity—Bpifrance – Conditional Advances and Subsidies.”</w:t>
      </w:r>
    </w:p>
    <w:p>
      <w:pPr>
        <w:spacing w:after="0" w:line="17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French tax authorities grant a CIR to companies to encourage technical and scientific research by French companies. Companies demonstrating that they have incurred research expenses that meet the required criteria, including research expenses located in France or certain other European countries, receive a tax credit that can be used against the payment of the corporate tax due for the fiscal year in which the expenses were incurred and during the next three fiscal years. Companies may receive cash reimbursement for any excess portion.</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apply for the CIR for research expenses incurred in each fiscal year and recognize the amounts claimed in the same fiscal year. As we meet the EU definition of a small and medium-sized enterprise (“SME”), we are eligible for payment in cash of our CIR in the year following the request for reimbursement, which corresponds to the period after which we incurred the eligible costs.</w:t>
      </w:r>
    </w:p>
    <w:p>
      <w:pPr>
        <w:spacing w:after="0" w:line="184"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We have concluded that the CIR meets the definition of a government grant as defined in IAS 20, Accounting for Government Grants and Disclosure of Government Assistance, and, as a result, they have been classified as “Other income” within operating income in our statements of operations.</w:t>
      </w:r>
    </w:p>
    <w:p>
      <w:pPr>
        <w:spacing w:after="0" w:line="184"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We received the CIR for 2021 in October 2022 and we expect to receive the CIR for 2022 in the second half of 2023, in each case under the community tax rules for SMEs and in compliance with the current regulations. The CIRs we are granted may be subject to audit by the French tax authorities.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expenses and general and administrative expenses.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consist primarily of the following items:</w:t>
      </w:r>
    </w:p>
    <w:p>
      <w:pPr>
        <w:spacing w:after="0" w:line="131" w:lineRule="exact"/>
        <w:rPr>
          <w:sz w:val="20"/>
          <w:szCs w:val="20"/>
          <w:color w:val="auto"/>
        </w:rPr>
      </w:pPr>
    </w:p>
    <w:p>
      <w:pPr>
        <w:ind w:left="1080" w:right="7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non-clinical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relating to regulatory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and maintenance;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allocate these costs by drug candidate and by therapeutic indication. Costs that are not directly attributable to a specific therapeutic indication are included under the category of transversal activities, which include the following:</w:t>
      </w:r>
    </w:p>
    <w:p>
      <w:pPr>
        <w:spacing w:after="0" w:line="76"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clinical developments, such as clinical trials relating to the compound and not indication related (e.g</w:t>
      </w:r>
      <w:r>
        <w:rPr>
          <w:rFonts w:ascii="Arial" w:cs="Arial" w:eastAsia="Arial" w:hAnsi="Arial"/>
          <w:sz w:val="18"/>
          <w:szCs w:val="18"/>
          <w:i w:val="1"/>
          <w:iCs w:val="1"/>
          <w:color w:val="auto"/>
        </w:rPr>
        <w:t>.</w:t>
      </w:r>
      <w:r>
        <w:rPr>
          <w:rFonts w:ascii="Arial" w:cs="Arial" w:eastAsia="Arial" w:hAnsi="Arial"/>
          <w:sz w:val="18"/>
          <w:szCs w:val="18"/>
          <w:color w:val="auto"/>
        </w:rPr>
        <w:t>, Phase 1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preclinical activities, such as studies relating to the compound and not indication related (e.g., toxicological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research activities, which relate to the mechanism of action of the compound;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regulatory activities, which relate to interactions with regulatory authorities for the compound;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pharmacovigilance activities, which relate to studies for the safety and tolerability of the compound;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chemistry, manufacturing and control activities, which relate to the manufacturing of drug substance and drug product.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may vary significantly in the future based on factors, such as:</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and scope of non-clinical and Investigational New Drug Application (“IND”)-enabling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and timing of manufacturing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phase of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efficacy and safety profile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or license agreements;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whether we choose to partner any of our drug candidates and the terms of such partnership.</w:t>
      </w:r>
    </w:p>
    <w:p>
      <w:pPr>
        <w:spacing w:after="0" w:line="225"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could significantly change the costs and timing associated with the development of that drug candidate. We may never succeed in obtaining regulatory approval for any of our drug candidates. We may obtain unexpected results from our non-clinical studies and future clinical trials.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General and administrative expenses primarily comprise personnel-related expenses, including salaries, benefits and share-based compensation expenses, for personnel other than employees engaged in research and development activities. General and administrative expenses also include fees for professional services, mainly related to audit and legal services, consulting costs, communications and travel costs, allocated expenses for facility costs, including rent, utilities and maintenance, directors’ attendance fees, and insurance costs.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expect our general and administrative expenses will increase in the future as we increase our headcount to support our continued research activities and the development of our product candidates, potential commercialization efforts and increased costs associated with being a public company in the United States. These increases will likely include additional costs related to the hiring of new personnel, including higher stock-based compensation expenses, and fees to outside consultants, as well as other expenses. We also anticipate that we will incur significantly increased accounting, audit, legal, regulatory, compliance and director and officer insurance costs as well as investor and public relations expenses associated with operating as a public company both in France and in the United States.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Income/(Loss)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Financial income/(loss) includes the amortized cost of the conditional advances, convertible notes, non-convertible bonds, royalty certificates, fair value adjustments on financial instruments, and other financial income and expenses such as the unwinding effect of CRO advances. We expect to incur additional financial expenses related to financing agreements or similar transactions that we may enter into to finance our further development.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years ended December 31, 2022 and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of euros)</w:t>
            </w:r>
          </w:p>
        </w:tc>
        <w:tc>
          <w:tcPr>
            <w:tcW w:w="2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Other operating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8"/>
              </w:rPr>
              <w:t>11,961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4,583</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(62)%</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income</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11,961</w:t>
            </w:r>
          </w:p>
        </w:tc>
        <w:tc>
          <w:tcPr>
            <w:tcW w:w="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4,583</w:t>
            </w:r>
          </w:p>
        </w:tc>
        <w:tc>
          <w:tcPr>
            <w:tcW w:w="52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Research and development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w w:val="89"/>
              </w:rPr>
              <w:t>(47,781)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w w:val="92"/>
              </w:rPr>
              <w:t>(48,295)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i w:val="1"/>
                <w:iCs w:val="1"/>
                <w:color w:val="auto"/>
              </w:rPr>
              <w:t>General and administrative expenses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(5,580)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(7,492)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Goodwill impairment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w w:val="92"/>
              </w:rPr>
              <w:t>(13,632)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0"/>
              </w:rPr>
              <w:t>(53,361)</w:t>
            </w:r>
          </w:p>
        </w:tc>
        <w:tc>
          <w:tcPr>
            <w:tcW w:w="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3"/>
              </w:rPr>
              <w:t>(69,419)</w:t>
            </w:r>
          </w:p>
        </w:tc>
        <w:tc>
          <w:tcPr>
            <w:tcW w:w="52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(41,400)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(64,836)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Financial expenses</w:t>
            </w: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w w:val="94"/>
              </w:rPr>
              <w:t>(3,561)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w w:val="98"/>
              </w:rPr>
              <w:t>(7,022)</w:t>
            </w:r>
          </w:p>
        </w:tc>
        <w:tc>
          <w:tcPr>
            <w:tcW w:w="5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97%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Financial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2,509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11,118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343%</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Financial income (loss)</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(1,052)</w:t>
            </w:r>
          </w:p>
        </w:tc>
        <w:tc>
          <w:tcPr>
            <w:tcW w:w="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4,096</w:t>
            </w:r>
          </w:p>
        </w:tc>
        <w:tc>
          <w:tcPr>
            <w:tcW w:w="52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tax</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(42,452)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(60,740)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Income Tax</w:t>
            </w: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—  </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—  </w:t>
            </w:r>
          </w:p>
        </w:tc>
        <w:tc>
          <w:tcPr>
            <w:tcW w:w="5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—  </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(42,452)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(60,740)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year ended December 31, 2022, our total operating income was €4.6 million, as compared to €12.0 million for the year ended December 31, 2021, a decrease of €7.4 million, or 62%, as detailed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other operating income for the years ended December 31, 2022 and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40" w:type="dxa"/>
            <w:vAlign w:val="bottom"/>
          </w:tcPr>
          <w:p>
            <w:pPr>
              <w:spacing w:after="0"/>
              <w:rPr>
                <w:sz w:val="14"/>
                <w:szCs w:val="14"/>
                <w:color w:val="auto"/>
              </w:rPr>
            </w:pPr>
          </w:p>
        </w:tc>
        <w:tc>
          <w:tcPr>
            <w:tcW w:w="236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CIR (Research Tax Credits)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Subsidies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7,722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recognized from Bpifrance to finance COVID-19 project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7,722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29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4,583</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year ended December 31, 2022, our other operating income was €4.6 million, as compared to €12.0 million for the year ended December 31, 2021, a decrease of €7.4 million, or 62%. This decrease was primarily due to a 100% decrease in subsidies.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Tax Credits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year ended December 31, 2022, we recognized research tax credits for our research and development projects of €4.5 million, as compared to €4.2 million for the year ended December 31, 2021, an increase of €0.3 million, or 6%. This increase was primarily due to a slight increase in research and development expenses.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Subsidies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year ended December 31, 2022, our subsidy income was €29,000, as compared to €7.7 million for the year ended December 31 2021. This decrease was primarily due to there being no new subsidy entitlement in 2022.</w:t>
      </w:r>
    </w:p>
    <w:p>
      <w:pPr>
        <w:spacing w:after="0" w:line="170"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For the year ended December 31, 2021, we recorded a €7.7 million subsidies income, mainly composed by subsidies received from Bpifrance for the obefazimod COVID-19 Program. This subsidy was initially recorded as a conditional advance in 2020 and as subsidy in 2021, following the waiver received from Bpifrance in April 2021 after the termination of trial in March 2021. As a result, we terminated our related financing agreement with Bpifrance in March 2021, recording in 2021 an income of €4.5 million, corresponding to the carrying amount of the advance at this date, as a result of Bpifrance’s agreement to waive the conditions of the advance. In addition, for the year ended December 31, 2021, we recorded income of €3.3 million reflecting additional payments received from Bpifrance to reimburse additional expenses incurred until the termination 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year ended December 31, 2022, our total operating expenses were €69.4 million, as compared to €53.4 million for the year ended December 31, 2021, an increase of €16.1 million, or 30%. This increase was primarily due to an increase in goodwill impairment loss and in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our research and development expenses by drug candidate and therapeutic indication for the years ended December 31, 2022 and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2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2"/>
              </w:rPr>
              <w:t>Year ended December 31,</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Obefazimod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43,979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45,024</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i w:val="1"/>
                <w:iCs w:val="1"/>
                <w:color w:val="auto"/>
              </w:rPr>
              <w:t>Ulcerative Colitis</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w w:val="98"/>
              </w:rPr>
              <w:t>20,684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w w:val="98"/>
              </w:rPr>
              <w:t>38,555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Crohn’s Disease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i w:val="1"/>
                <w:iCs w:val="1"/>
                <w:color w:val="auto"/>
              </w:rPr>
              <w:t>Rheumatoid Arthritis</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2,422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848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1,171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(768)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i w:val="1"/>
                <w:iCs w:val="1"/>
                <w:color w:val="auto"/>
              </w:rPr>
              <w:t>Obefazimod Other Indication</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433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Transversal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w w:val="98"/>
              </w:rPr>
              <w:t>19,132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6,321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ABX196</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693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ABX711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287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Others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2,604</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52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47,781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48,295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For the year ended December 31, 2022, our research and development expenses were €48.3 million, as compared to €47.8 million for the year ended December 31, 2021, an increase of €0.5 million, or 1%. This increase was primarily due to the €17.9 million, or 86%, increase in obefazimod for UC expenses, as we completed our Phase 2b clinical trial in early 2022 and initiated our Phase 3 clinical trial in the first half of 2022, with the first patient in the United States enrolled in October 2022, as well as an increase of €0.3 million related to commencing development of our novel drug candidate ABX711. This increase was offset by a decrease of €12.8 million in transversal activities following the completion of our existing studies and no new studies on these projects began in 2022, a decrease of €1.9 million in COVID-19 research expenses and a decrease of €1.6 million in expenses related to our rheumatoid arthritis clinical trial.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2022, our general and administrative expenses were €7.5 million, as compared to €5.6 million for the year ended December 31, 2021, an increase of €1.9 million, or 34%. This increase was primarily due to an increase in other general and administrative expenses, as well as increases in consulting, and professional fees. The €2.2 million, or 181%, increase in other general and administrative expenses in 2022 was primarily due to increased expenses related to financial and legal consulting fees. These increases were partially offset by a decrease in personnel costs, mainly due to a reversal of share-based compensation expenses.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 Loss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the year ended December 31, 2022, we recorded a goodwill impairment loss of €13.6 million, as compared to no goodwill impairment loss for the year ended December 31, 2021. The goodwill impairment loss was primarily related to an impairment test conducted with respect to the ABX196 cash-generating unit as a result of significant external changes in the hepatocellular carcinoma treatment landscape, which are expected to require a new, lengthy, heavy and risky internal development process (use of a combination of compounds). As such, while we considered the option of entering into a licensing partnership to fund the completion of the clinical development of ABX196, we made the decision to freeze the development program for ABX196 in the treatment of hepatocellular cancer, which led to full impairment of ABX196 goodwill.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the year ended December 31, 2022, our net operating loss was €64.8 million, as compared to a net operating loss of €41.4 million for the year ended December 31, 2021, an increase of €23.4 million, or 57%. This increase was primarily due to an increase in goodwill impairment charges, a decrease in other operating income, as well as an increase in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(Loss)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year ended December 31, 2022, our net financial income was €4.1 million, as compared to a net financial loss of €1.1 million for the year ended December 31, 2021.</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For the year ended December 31, 2022, our net financial income was mainly a result of a €9.4 million decrease in the fair value of derivatives (mainly due to the decrease in our share price over the period) and a €1.4 million decrease in other liabilities at fair value through profit or loss (mainly in Prosynergia earn-out liability), which was partially offset by an increase in interest expenses of €3.7 million in relation to the Kreos bonds and €2.6 million in relation to our OCEANE bonds.</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For the year ended December 31, 2021, our net financial loss was mainly a result of interest expenses of €2.3 million in relation to the Kreos bonds and €1.1 million in relation to our OCEANE bonds, partially offset by a €2.4 million decrease in the fair value of derivatives. The decrease in the fair value of derivatives is mainly due to the decrease in our share price over the period. See “—Liquidity and Capital Resources.”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each of the years ended December 31, 2022 and 2021, our income tax charge was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year ended December 31, 2022, our net loss for the period was €60.7 million, as compared to €42.5 million for the year ended December 31, 2021, an increase of €18.3 million, or 43%.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Six-Month Periods Ended June 30, 2023 and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six-month period ended June 30, 2023 and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 of euros)</w:t>
            </w:r>
          </w:p>
        </w:tc>
        <w:tc>
          <w:tcPr>
            <w:tcW w:w="6140" w:type="dxa"/>
            <w:vAlign w:val="bottom"/>
            <w:vMerge w:val="restart"/>
          </w:tcPr>
          <w:p>
            <w:pPr>
              <w:spacing w:after="0"/>
              <w:rPr>
                <w:sz w:val="14"/>
                <w:szCs w:val="14"/>
                <w:color w:val="auto"/>
              </w:rPr>
            </w:pPr>
          </w:p>
        </w:tc>
        <w:tc>
          <w:tcPr>
            <w:tcW w:w="2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9"/>
              </w:rPr>
              <w:t>Six months ended June 30,</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1420" w:type="dxa"/>
            <w:vAlign w:val="bottom"/>
            <w:tcBorders>
              <w:bottom w:val="single" w:sz="8" w:color="auto"/>
            </w:tcBorders>
            <w:vMerge w:val="continue"/>
          </w:tcPr>
          <w:p>
            <w:pPr>
              <w:spacing w:after="0"/>
              <w:rPr>
                <w:sz w:val="11"/>
                <w:szCs w:val="11"/>
                <w:color w:val="auto"/>
              </w:rPr>
            </w:pPr>
          </w:p>
        </w:tc>
        <w:tc>
          <w:tcPr>
            <w:tcW w:w="6140" w:type="dxa"/>
            <w:vAlign w:val="bottom"/>
            <w:vMerge w:val="continue"/>
          </w:tcPr>
          <w:p>
            <w:pPr>
              <w:spacing w:after="0"/>
              <w:rPr>
                <w:sz w:val="11"/>
                <w:szCs w:val="11"/>
                <w:color w:val="auto"/>
              </w:rPr>
            </w:pPr>
          </w:p>
        </w:tc>
        <w:tc>
          <w:tcPr>
            <w:tcW w:w="124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 2022 </w:t>
            </w:r>
          </w:p>
        </w:tc>
        <w:tc>
          <w:tcPr>
            <w:tcW w:w="76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b w:val="1"/>
                <w:bCs w:val="1"/>
                <w:color w:val="auto"/>
              </w:rPr>
              <w:t> 2023 </w:t>
            </w:r>
          </w:p>
        </w:tc>
        <w:tc>
          <w:tcPr>
            <w:tcW w:w="5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Other operating income</w:t>
            </w:r>
          </w:p>
        </w:tc>
        <w:tc>
          <w:tcPr>
            <w:tcW w:w="7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2,284</w:t>
            </w:r>
          </w:p>
        </w:tc>
        <w:tc>
          <w:tcPr>
            <w:tcW w:w="5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2,255</w:t>
            </w:r>
          </w:p>
        </w:tc>
        <w:tc>
          <w:tcPr>
            <w:tcW w:w="5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income</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2,284</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2,255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Sales and marketing expenses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—  </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(155)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(15,107)</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(32,622)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116%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General and administrative expenses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(2,223)</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(6,758)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204%</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Goodwill impairment loss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(10,986)</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—  </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(28,317)</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(39,535)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(26,033)</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(37,280)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Financial expenses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(2,346)</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(15,030)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541%</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Financial income</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7,195</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357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income (loss)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4,849</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(14,673)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Net loss before tax</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(21,183)</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(51,953)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tax</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—  </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—  </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period</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(21,183)</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(51,953)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six-month period ended June 30, 2023, our total operating income was €2.3 million, as compared to €2.3 million for the six-month period ended June 30, 2022; there was no significant variation during the period, as detailed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other operating income for the six-month period ended June 30, 2023 and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 of euros)</w:t>
            </w:r>
          </w:p>
        </w:tc>
        <w:tc>
          <w:tcPr>
            <w:tcW w:w="5360" w:type="dxa"/>
            <w:vAlign w:val="bottom"/>
            <w:vMerge w:val="restart"/>
          </w:tcPr>
          <w:p>
            <w:pPr>
              <w:spacing w:after="0"/>
              <w:rPr>
                <w:sz w:val="14"/>
                <w:szCs w:val="14"/>
                <w:color w:val="auto"/>
              </w:rPr>
            </w:pPr>
          </w:p>
        </w:tc>
        <w:tc>
          <w:tcPr>
            <w:tcW w:w="274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33"/>
        </w:trPr>
        <w:tc>
          <w:tcPr>
            <w:tcW w:w="2000" w:type="dxa"/>
            <w:vAlign w:val="bottom"/>
            <w:tcBorders>
              <w:bottom w:val="single" w:sz="8" w:color="auto"/>
            </w:tcBorders>
            <w:vMerge w:val="continue"/>
          </w:tcPr>
          <w:p>
            <w:pPr>
              <w:spacing w:after="0"/>
              <w:rPr>
                <w:sz w:val="11"/>
                <w:szCs w:val="11"/>
                <w:color w:val="auto"/>
              </w:rPr>
            </w:pPr>
          </w:p>
        </w:tc>
        <w:tc>
          <w:tcPr>
            <w:tcW w:w="5360" w:type="dxa"/>
            <w:vAlign w:val="bottom"/>
            <w:vMerge w:val="continue"/>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 2022 </w:t>
            </w:r>
          </w:p>
        </w:tc>
        <w:tc>
          <w:tcPr>
            <w:tcW w:w="6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 2023 </w:t>
            </w:r>
          </w:p>
        </w:tc>
        <w:tc>
          <w:tcPr>
            <w:tcW w:w="6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CIR (Research Tax Credit)</w:t>
            </w: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2,217</w:t>
            </w:r>
          </w:p>
        </w:tc>
        <w:tc>
          <w:tcPr>
            <w:tcW w:w="6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2,235</w:t>
            </w:r>
          </w:p>
        </w:tc>
        <w:tc>
          <w:tcPr>
            <w:tcW w:w="6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Subsidies</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00" w:type="dxa"/>
            <w:vAlign w:val="bottom"/>
            <w:gridSpan w:val="3"/>
          </w:tcPr>
          <w:p>
            <w:pPr>
              <w:jc w:val="right"/>
              <w:ind w:right="62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Total other operating income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2,284</w:t>
            </w:r>
          </w:p>
        </w:tc>
        <w:tc>
          <w:tcPr>
            <w:tcW w:w="20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2,255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six-month period ended June 30, 2023, we recognized research tax credits for our research and development projects of €2.2 million, as compared to €2.2 million for the six-month period ended June 30, 2022. There was no significant variation during the period due to the maximum amount of eligible outsourced research and development expenses being capped (similar to June 30, 2022) and internal research and development costs being stable.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the six-month period ended June 30, 2023, our total operating expenses were €39.5 million, as compared to €28.3 million for the six-month period ended June 30, 2022, an increase of €11.2 million, or 40%.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This increase was primarily due to an increase in research and development expenses by €17.5 million and general and administrative expenses by €4.5 million, partially offset by the absence of goodwill impairment loss as of June 30, 2023 (compared to €11.0 million as of June 30, 2022).</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six-month period ended June 30, 2023, our total sales and marketing expenses were €0.2 million. We did not incur any sales and marketing expenses in 2022. These expenses consist of the newly hired employees within the Sales and Marketing department, including our Chief Commercial Officer in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our research and development expenses by drug candidate and therapeutic indication for the six-month period ended June 30, 2023 and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 of euros)</w:t>
            </w:r>
          </w:p>
        </w:tc>
        <w:tc>
          <w:tcPr>
            <w:tcW w:w="6020" w:type="dxa"/>
            <w:vAlign w:val="bottom"/>
            <w:vMerge w:val="restart"/>
          </w:tcPr>
          <w:p>
            <w:pPr>
              <w:spacing w:after="0"/>
              <w:rPr>
                <w:sz w:val="14"/>
                <w:szCs w:val="14"/>
                <w:color w:val="auto"/>
              </w:rPr>
            </w:pPr>
          </w:p>
        </w:tc>
        <w:tc>
          <w:tcPr>
            <w:tcW w:w="26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1420" w:type="dxa"/>
            <w:vAlign w:val="bottom"/>
            <w:tcBorders>
              <w:bottom w:val="single" w:sz="8" w:color="auto"/>
            </w:tcBorders>
            <w:vMerge w:val="continue"/>
          </w:tcPr>
          <w:p>
            <w:pPr>
              <w:spacing w:after="0"/>
              <w:rPr>
                <w:sz w:val="11"/>
                <w:szCs w:val="11"/>
                <w:color w:val="auto"/>
              </w:rPr>
            </w:pPr>
          </w:p>
        </w:tc>
        <w:tc>
          <w:tcPr>
            <w:tcW w:w="6020" w:type="dxa"/>
            <w:vAlign w:val="bottom"/>
            <w:vMerge w:val="continue"/>
          </w:tcPr>
          <w:p>
            <w:pPr>
              <w:spacing w:after="0"/>
              <w:rPr>
                <w:sz w:val="11"/>
                <w:szCs w:val="11"/>
                <w:color w:val="auto"/>
              </w:rPr>
            </w:pPr>
          </w:p>
        </w:tc>
        <w:tc>
          <w:tcPr>
            <w:tcW w:w="134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rPr>
              <w:t> 2022 </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 2023 </w:t>
            </w:r>
          </w:p>
        </w:tc>
        <w:tc>
          <w:tcPr>
            <w:tcW w:w="5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Obefazimod</w:t>
            </w: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13,398</w:t>
            </w:r>
          </w:p>
        </w:tc>
        <w:tc>
          <w:tcPr>
            <w:tcW w:w="6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30,915</w:t>
            </w:r>
          </w:p>
        </w:tc>
        <w:tc>
          <w:tcPr>
            <w:tcW w:w="5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Arial" w:cs="Arial" w:eastAsia="Arial" w:hAnsi="Arial"/>
                <w:sz w:val="18"/>
                <w:szCs w:val="18"/>
                <w:i w:val="1"/>
                <w:iCs w:val="1"/>
                <w:color w:val="auto"/>
              </w:rPr>
              <w:t>Ulcerative Colitis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i w:val="1"/>
                <w:iCs w:val="1"/>
                <w:color w:val="auto"/>
              </w:rPr>
              <w:t>9,335</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26,196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181%</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Crohn’s Disease</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i w:val="1"/>
                <w:iCs w:val="1"/>
                <w:color w:val="auto"/>
              </w:rPr>
              <w:t>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i w:val="1"/>
                <w:iCs w:val="1"/>
                <w:color w:val="auto"/>
              </w:rPr>
              <w:t>— 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Arial" w:cs="Arial" w:eastAsia="Arial" w:hAnsi="Arial"/>
                <w:sz w:val="18"/>
                <w:szCs w:val="18"/>
                <w:i w:val="1"/>
                <w:iCs w:val="1"/>
                <w:color w:val="auto"/>
              </w:rPr>
              <w:t>Rheumatoid Arthritis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i w:val="1"/>
                <w:iCs w:val="1"/>
                <w:color w:val="auto"/>
              </w:rPr>
              <w:t>514</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382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(723)</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(101)%</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Arial" w:cs="Arial" w:eastAsia="Arial" w:hAnsi="Arial"/>
                <w:sz w:val="18"/>
                <w:szCs w:val="18"/>
                <w:i w:val="1"/>
                <w:iCs w:val="1"/>
                <w:color w:val="auto"/>
              </w:rPr>
              <w:t>Obefazimod Others Indication</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i w:val="1"/>
                <w:iCs w:val="1"/>
                <w:color w:val="auto"/>
              </w:rPr>
              <w:t>34</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68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Transversal activities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i w:val="1"/>
                <w:iCs w:val="1"/>
                <w:color w:val="auto"/>
              </w:rPr>
              <w:t>4,238</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4,263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ABX196</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358</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ABX711</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—  </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561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Others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1,351</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15,107</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32,622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For the six-month period ended June 30, 2023, our research and development expenses were €32.6 million, as compared to €15.1 million for the six-month period ended June 30, 2022, an increase of €17.5 million, or 116%. This increase was primarily due to a €17.5 million, or 131%, increase in obefazimod clinical expenses, driven by the progression of our Phase 3 clinical trials. In addition, we incurred additional expenses of €0.6 million related to the development initiation of our novel drug candidate ABX711 in the second half of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For the six-month period ended June 30, 2023, our general and administrative expenses were €6.8 million, as compared to €2.2 million for the six-month period ended June 30, 2022, an increase of €4.5 million, or 204%. This increase was primarily due to an increase in personnel costs, resulting from management changes that occurred during the period and the reversal of share-based compensation expenses incurred in 2021 that was recorded in the first half of 2022. The increase was also due to an increase in consulting and professional fees related to recruitment and legal activities.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record any goodwill impairment loss for the six-month period ended June 30, 2023.</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the six-month period ended June 30, 2022, we recorded a goodwill impairment loss of €11.0 million. This impairment loss relates to an impairment test conducted in the six-month period ended June 30, 2022 on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ABX196 cash generating unit as a result of significant external changes in the hepatocellular carcinoma treatment landscape. These changes were expected to require a new, lengthy and risky internal development process (involving use of a combination of compounds). For additional information see Note 3.1 to our unaudited interim condensed consolidated financial statements included elsewhere in this prospectus.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Income (Loss)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the six-month period ended June 30, 2023, our operating loss was €37.3 million, as compared to a loss of €26.0 million for the six-month period ended June 30, 2022, an increased loss of €11.2 million, or 43%, primarily as the result of an increase of €17.5 million in research and development expenses and an increase of €4.5 million in general and administrative expenses. These increases were partially offset by the absence of goodwill impairment recorded over the six-month period ended June 30, 2023, as compared to the €11.0 million loss recorded over the six-month period ended June 30,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Income (Loss)</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 the six-month period ended June 30, 2023, we recorded net financial loss of €14.7 million, as compared to a net financial income of €4.8 million for the six-month period ended June 30, 2022, a decrease of €19.5 million, or 403%.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six-month period ended June 30, 2023, our financial expenses were €15.0 million and were primarily related to royalty certificates (€7.3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million). These expenses result from our reassessment of the probability of future cash flows related to the certificates. This change reflects the higher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probability to reach the objectives of our development and commercialization plans, following the recent changes in management and governance,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well as our Phase 2b two-year open-label maintenance trial for UC. Our financial expenses were also due to an increase in the fair value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option related to OCEANE bonds by €4.2 million and the Kreos Tranche A BSA and Kreos Tranche B BSA’s fair values by an aggregate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 of €1.4 million (as a result of a significant change in market conditions and an increase in our share price), partially offset by our financial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income of €0.4 million which was mainly the result of the effect of unwinding the discount related to the long-term CRO advances amounting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For additional information see Note 21 to our unaudited interim condensed consolidated financial statements included elsewhere in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the six-month period ended June 30, 2022, our financial expenses were €2.3 million and were primarily related to interests related to the bonds issued under the First KC Agreement and the Second KC Agreement, for an aggregate amount of €0.9 million, and interests related to the OCEANE bonds for €1.3 million. They were offset by our financial income, amounting to €7.2 million. Our financial income primarily resulted from decreases in the fair values of the Kreos Tranche A BSA, Kreos Tranche B BSA and the convertible option related to convertible bonds issued in July 2021 and the earn-out liability related to the acquisition of Prosynergia, amounting to respectively €1.6 million, €1.0 million, €3.3 million and €1.3 million, as a result of the significant change in market conditions and a decrease in our share price.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each of the six-month period ended June 30, 2023 and 2022, our income tax charge was zero.</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the six-month period ended June 30, 2023, our net loss for the period was €52.0 million, as compared to a net loss of €21.2 million for the six-month period ended June 30, 2022, an increase of €30.8 million, or 145% as a result of the significant increases in operating expenses (in an amount of €11.2 million), mostly driven by our research and development expenses, and increases in financial expenses (in the amount of €12.7 million) previously described.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incurred substantial operating losses since inception and expect to continue to incur significant operating losses for the foreseeable future and may never become profitable. For the six-month periods ended June 30, 2023 and 2022 and the years ended December 31, 2022 and 2021, we reported net losses of €52.0 million, €21.2 million, €60.7 million and €42.5 million, respectively. As of June 30, 2023, we carried forward accumulated tax losses of €355.4 million.</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inception, we have financed our operations through the issuance of ordinary shares with gross aggregate proceeds of €333.9 million, of which €130 million of gross proceeds were from offerings of our ordinary shares on Euronext Paris in February 2023, bank borrowings and structured loans for €125.0 million, reimbursements of CIR in an amount of €26.6 million, subsidies received from Bpifrance (including €13.5 million of subsidies and €6.6 million of conditional advances) and royalty certificates in an amount of €2.9 million. As a result of (a) our existing cash and cash equivalents of €114.4 million as of June 30, 2023, (b) the net proceeds of the August 2023 drawdown of the first tranches of the Kreos / Claret Financing and the Heights Financing, collectively amounting to €27.2 million (net of repayments of all outstanding amounts that remained due under the First KC Agreement, the Second KC Agreement and the OCEANE bonds), (c) the available drawdowns of the second tranches of the Kreos / Claret Financing and the Heights Financing (which tranches are not conditional on the amount of proceeds raised in this offering), collectively amounting to €65 million in gross proceeds and (d) the expected reimbursement of the CIR from 2022 in the second half of 2023 amounting to €4.5 million, we expect to be able to fund our forecasted operating cash flow requirements through the third quarter of 2024. This takes into account our assumption that R&amp;D expenditure will be substantially increased in 2023 driven by the progression of the Phase 3 clinical trials of obefazimod, which started enrollment of patients with moderately to severely active UC in October 2022.</w:t>
      </w:r>
    </w:p>
    <w:p>
      <w:pPr>
        <w:spacing w:after="0" w:line="17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expect we will be able to extend our financing horizon beyond the third quarter of 2024 through additional dilutive and non-dilutive financing, which could include a combination of capital increase, venture loans and convertible bonds.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Based on the above and the actions we have taken, management has concluded that the substantial doubt about our ability to continue as a going concern has been alleviated beyond 12 months from issuance of the accompanying financial statements, and the accompanying financial statements have been prepared on a going concern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Increases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Our operations have been financed primarily by capital increases from our founders and investors, net proceeds from the initial public offering of our ordinary shares on Euronext Paris in France in 2015, and additional follow-on capital increases. We have not yet commercialized any of our drug candidates, which are in various phases of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main capital increases since inception.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 of euros)</w:t>
            </w:r>
          </w:p>
        </w:tc>
        <w:tc>
          <w:tcPr>
            <w:tcW w:w="37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1"/>
              </w:rPr>
              <w:t>Gross proceeds amount</w:t>
            </w: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Public Offering (Euronext) - June 23, 2015</w:t>
            </w:r>
          </w:p>
        </w:tc>
        <w:tc>
          <w:tcPr>
            <w:tcW w:w="4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9"/>
              </w:rPr>
              <w:t>Capital increase from issuance of ordinary shares - July 11, 2019</w:t>
            </w:r>
          </w:p>
        </w:tc>
        <w:tc>
          <w:tcPr>
            <w:tcW w:w="478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Capital increase from issuance of ordinary shares - October 29, 2020</w:t>
            </w:r>
          </w:p>
        </w:tc>
        <w:tc>
          <w:tcPr>
            <w:tcW w:w="4780" w:type="dxa"/>
            <w:vAlign w:val="bottom"/>
            <w:gridSpan w:val="2"/>
            <w:shd w:val="clear" w:color="auto" w:fill="CCEEFF"/>
          </w:tcPr>
          <w:p>
            <w:pPr>
              <w:ind w:left="4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28,000</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9"/>
              </w:rPr>
              <w:t>Capital increase from issuance of ordinary shares - July 27, 2021</w:t>
            </w:r>
          </w:p>
        </w:tc>
        <w:tc>
          <w:tcPr>
            <w:tcW w:w="478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60,001</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Capital increase from issuance of ordinary shares - September 7, 2022</w:t>
            </w:r>
          </w:p>
        </w:tc>
        <w:tc>
          <w:tcPr>
            <w:tcW w:w="4780" w:type="dxa"/>
            <w:vAlign w:val="bottom"/>
            <w:gridSpan w:val="2"/>
            <w:shd w:val="clear" w:color="auto" w:fill="CCEEFF"/>
          </w:tcPr>
          <w:p>
            <w:pPr>
              <w:ind w:left="4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46,231</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w w:val="98"/>
              </w:rPr>
              <w:t>Capital increase from issuance of ordinary shares - March 1, 2023</w:t>
            </w:r>
          </w:p>
        </w:tc>
        <w:tc>
          <w:tcPr>
            <w:tcW w:w="478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130,000</w:t>
            </w:r>
          </w:p>
        </w:tc>
      </w:tr>
      <w:tr>
        <w:trPr>
          <w:trHeight w:val="350"/>
        </w:trPr>
        <w:tc>
          <w:tcPr>
            <w:tcW w:w="1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On June 23, 2015, we received gross proceeds of €57.7 million from the issuance of 2,707,089 new ordinary shares at a subscription price of €21.30 per share. The proceeds were primarily used for financing older research and development programs (pivotal study in Asia for ABX203 in chronic hepatitis B treatment and the Phase 2 trial for obefazimod in HIV/AIDS treatment), which have since been terminated.</w:t>
      </w:r>
    </w:p>
    <w:p>
      <w:pPr>
        <w:spacing w:after="0" w:line="16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June 11, 2019, we received gross proceeds of €12.0 million from the issuance of 1,500,000 new ordinary shares at a subscription price of €8.00 per share. The proceeds were primarily used for the clinical development of obefazimod (including a Phase 2b clinical trial), Phase 2a clinical trials for RA and the ABX196 treatment of hepatocellular cancer in the United States.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October 29, 2020, we received gross proceeds of €28.0 million from the issuance of 1,620,370 new ordinary shares at a subscription price of €17.28 per share. The proceeds were primarily used to finance the progress of obefazimod clinical trials in chronic inflammatory diseases and for general corporate purposes.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July 27, 2021, we received gross proceeds of €60.0 million from the issuance of 1,964,031 ordinary shares at a subscription price of €30.55 per share. The proceeds were primarily used to finance the progress of obefazimod clinical trials in chronic inflammatory diseases, for general corporate purposes, payments with respect to, and redemption of, certain existing indebtedness, and advancement of ABX196 for the treatment of hepatocellular carcinoma.</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7, 2022, we received gross proceeds of €46.2 million from the issuance of 5,530,000 ordinary shares at a subscription price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€8.36 per share, and the issuance of royalty certificates of €2.9 million, for a total financing of €49.2 million. See “Business—Key Collaborations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Partners—Financing Arrangements—Royalty Certificates.”</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March 1, 2023, we received gross proceeds of €130.0 million from the issuance of 20,000,000 ordinary shares at a subscription price of €6.50 per share. The proceeds were primarily used to finance the progress of obefazimod clinical trials in chronic inflammatory diseases and for general corporate purposes (research and development expenses and loans maturities payments).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entered into an equity line agreement with Kepler Cheuvreux in September 2017. In accordance with the terms of this agreement, Kepler Cheuvreux, acting as financial intermediary and guarantor, committed to subscribe for 970,000 ordinary shares, at its option in line with a schedule lasting no longer than 24 months, at an issuance price based on an average market price weighted according to the volumes traded over the two trading days preceding each issue, less a maximum discount of 7.0%.</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renewed this financing line and entered into an agreement on September 30, 2019, with Kepler Cheuvreux, who committed to subscribe for 730,000 ordinary shares (corresponding to the number of shares unsubscribed as of September 30, 2019, and granted under the previous agreement) under the same terms and conditions for a period of 24 months.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September 24, 2021, we extended the agreement for an additional 12-month period with respect to the unsubscribed shares at that date. This agreement was terminated on September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Credits</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From our inception to June 30, 2023, we have benefited from refunds of CIRs in a total amount of €26.6 million. In August 2021, we received CIRs of €2.6 million with respect to the year ended December 31, 2020. In October 2022, we received CIRs of €4.2 million with respect to the year ended December 31,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Bpifrance—Conditional Advances and Subsidies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received several conditional advances and subsidies from Bpifrance since our inception. Funds received from Bpifrance in the form of conditional advances are recognized as financial liabilities, as we have a contractual obligation to reimburse Bpifrance for such conditional advances in cash based on a repayment schedule. Each award of an advance is made to help fund a specific development milestone. Subsidies are non-repayable grants, which are recognized in the financial statements when there exists reasonable assurance that we will comply with the conditions attached to the subsidies and the subsidies will be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monies granted by and received from Bpifrance as of June 30,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6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Contract status</w:t>
            </w: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As of June 30, 2023</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 awarded</w:t>
            </w: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 collected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Conditional advances</w:t>
            </w: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26,387</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Carena</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tcPr>
          <w:p>
            <w:pPr>
              <w:spacing w:after="0"/>
              <w:rPr>
                <w:sz w:val="20"/>
                <w:szCs w:val="20"/>
                <w:color w:val="auto"/>
              </w:rPr>
            </w:pPr>
            <w:r>
              <w:rPr>
                <w:rFonts w:ascii="Arial" w:cs="Arial" w:eastAsia="Arial" w:hAnsi="Arial"/>
                <w:sz w:val="18"/>
                <w:szCs w:val="18"/>
                <w:i w:val="1"/>
                <w:iCs w:val="1"/>
                <w:color w:val="auto"/>
              </w:rPr>
              <w: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i w:val="1"/>
                <w:iCs w:val="1"/>
                <w:color w:val="auto"/>
              </w:rPr>
              <w:t>3,830</w:t>
            </w:r>
          </w:p>
        </w:tc>
        <w:tc>
          <w:tcPr>
            <w:tcW w:w="380" w:type="dxa"/>
            <w:vAlign w:val="bottom"/>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2,187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RNP-VIR</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6,298</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4,032</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Ebola</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tcPr>
          <w:p>
            <w:pPr>
              <w:spacing w:after="0"/>
              <w:rPr>
                <w:sz w:val="20"/>
                <w:szCs w:val="20"/>
                <w:color w:val="auto"/>
              </w:rPr>
            </w:pPr>
            <w:r>
              <w:rPr>
                <w:rFonts w:ascii="Arial" w:cs="Arial" w:eastAsia="Arial" w:hAnsi="Arial"/>
                <w:sz w:val="18"/>
                <w:szCs w:val="18"/>
                <w:i w:val="1"/>
                <w:iCs w:val="1"/>
                <w:color w:val="auto"/>
              </w:rPr>
              <w: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i w:val="1"/>
                <w:iCs w:val="1"/>
                <w:color w:val="auto"/>
              </w:rPr>
              <w:t>390</w:t>
            </w:r>
          </w:p>
        </w:tc>
        <w:tc>
          <w:tcPr>
            <w:tcW w:w="380" w:type="dxa"/>
            <w:vAlign w:val="bottom"/>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390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600" w:type="dxa"/>
            <w:vAlign w:val="bottom"/>
            <w:gridSpan w:val="2"/>
            <w:shd w:val="clear" w:color="auto" w:fill="CCEEFF"/>
          </w:tcPr>
          <w:p>
            <w:pPr>
              <w:jc w:val="right"/>
              <w:ind w:right="700"/>
              <w:spacing w:after="0" w:line="216" w:lineRule="exact"/>
              <w:rPr>
                <w:sz w:val="20"/>
                <w:szCs w:val="20"/>
                <w:color w:val="auto"/>
              </w:rPr>
            </w:pPr>
            <w:r>
              <w:rPr>
                <w:rFonts w:ascii="Arial" w:cs="Arial" w:eastAsia="Arial" w:hAnsi="Arial"/>
                <w:sz w:val="17"/>
                <w:szCs w:val="17"/>
                <w:i w:val="1"/>
                <w:iCs w:val="1"/>
                <w:color w:val="auto"/>
              </w:rPr>
              <w:t>15,869</w:t>
            </w:r>
            <w:r>
              <w:rPr>
                <w:rFonts w:ascii="Arial" w:cs="Arial" w:eastAsia="Arial" w:hAnsi="Arial"/>
                <w:sz w:val="25"/>
                <w:szCs w:val="25"/>
                <w:i w:val="1"/>
                <w:iCs w:val="1"/>
                <w:color w:val="auto"/>
                <w:vertAlign w:val="superscript"/>
              </w:rPr>
              <w:t>(1)</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w w:val="93"/>
              </w:rPr>
              <w:t>—  </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Subsidies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7,475</w:t>
            </w:r>
          </w:p>
        </w:tc>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13,524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Carena</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1,397</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1,187</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RNP-VIR</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tcPr>
          <w:p>
            <w:pPr>
              <w:spacing w:after="0"/>
              <w:rPr>
                <w:sz w:val="20"/>
                <w:szCs w:val="20"/>
                <w:color w:val="auto"/>
              </w:rPr>
            </w:pPr>
            <w:r>
              <w:rPr>
                <w:rFonts w:ascii="Arial" w:cs="Arial" w:eastAsia="Arial" w:hAnsi="Arial"/>
                <w:sz w:val="18"/>
                <w:szCs w:val="18"/>
                <w:i w:val="1"/>
                <w:iCs w:val="1"/>
                <w:color w:val="auto"/>
              </w:rPr>
              <w: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i w:val="1"/>
                <w:iCs w:val="1"/>
                <w:color w:val="auto"/>
              </w:rPr>
              <w:t>2,112</w:t>
            </w:r>
          </w:p>
        </w:tc>
        <w:tc>
          <w:tcPr>
            <w:tcW w:w="380" w:type="dxa"/>
            <w:vAlign w:val="bottom"/>
          </w:tcPr>
          <w:p>
            <w:pPr>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1,123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Ebola</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i w:val="1"/>
                <w:iCs w:val="1"/>
                <w:color w:val="auto"/>
              </w:rPr>
              <w:t>—  </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w w:val="93"/>
              </w:rPr>
              <w:t>—  </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COVID-19</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3,967</w:t>
            </w:r>
          </w:p>
        </w:tc>
        <w:tc>
          <w:tcPr>
            <w:tcW w:w="8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33,862</w:t>
            </w: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20,133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720" w:hanging="424"/>
        <w:spacing w:after="0" w:line="277"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Following the termination of the study in March 2021, the conditional advance of €6.3 million paid in 2020 was reclassified as a subsidy, following the waiver received from Bpifrance to repay the conditional advance. See “—Bpifrance – COVID-19.”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Bpifrance—CARENA Contract</w:t>
      </w:r>
    </w:p>
    <w:p>
      <w:pPr>
        <w:spacing w:after="0" w:line="117" w:lineRule="exact"/>
        <w:rPr>
          <w:sz w:val="20"/>
          <w:szCs w:val="20"/>
          <w:color w:val="auto"/>
        </w:rPr>
      </w:pPr>
    </w:p>
    <w:p>
      <w:pPr>
        <w:ind w:left="120" w:right="320" w:firstLine="440"/>
        <w:spacing w:after="0" w:line="285" w:lineRule="auto"/>
        <w:rPr>
          <w:sz w:val="20"/>
          <w:szCs w:val="20"/>
          <w:color w:val="auto"/>
        </w:rPr>
      </w:pPr>
      <w:r>
        <w:rPr>
          <w:rFonts w:ascii="Arial" w:cs="Arial" w:eastAsia="Arial" w:hAnsi="Arial"/>
          <w:sz w:val="16"/>
          <w:szCs w:val="16"/>
          <w:color w:val="auto"/>
        </w:rPr>
        <w:t>As part of the development of therapeutic and diagnostic solutions targeting alternative splicing and RNA interference in the fields of virology (HIV-AIDS, HTLV-1) and metabolism (obesity), SPLICOS, which we acquired in October 2014, entered into a Master Support Agreement and a conditional advance contract on December 2013 for the “CARENA” Strategic Industrial Innovation Project (“CARENA project”), with Bpifrance. Under this contract, we are eligible to receive up to €3.8 million in conditional advances to develop a therapeutic HIV treatment program with obefazimod. As of June 30, 2023, we had received €2.2 million of conditional advances, of which €1.2 million was received in December 2013,</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€1.0 million in September 2014 and €29,000 in June 2016. The repayment of these funds is spread from the date on which the repayments are called by Bpifrance.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Bpifrance—RNP-VIR Contract</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part of the CARENA project, focused on the clinical development of a drug molecule and demonstrating the validity of an innovative therapeutic approach targeting viral RNPs, we entered into a Master Support Agreement with Bpifrance, as well as a beneficiary agreement dated March 21, 2017, with conditional advances for the “RNP-VIR” structuring research and development project for competitiveness. Under the RNP-VIR contract, we are eligible to receive up to €6.3 million in conditional advances to develop methods for the discovery of new molecules for the treatment of viral infectious diseases through the development of the “Modulation of RNA biogenesis” platform. As of June 30, 2023, we had received €4.0 million of conditional advances, of which €1.8 million was received in September 2017, €0.3 million in August 2018 and €1.9 million</w:t>
      </w:r>
    </w:p>
    <w:p>
      <w:pPr>
        <w:spacing w:after="0" w:line="11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November 2019. The repayment of these funds is spread from the date on which the repayments are called by Bpifrance.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Bpifrance—Ebola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Bpifrance</w:t>
      </w:r>
      <w:r>
        <w:rPr>
          <w:rFonts w:ascii="Arial" w:cs="Arial" w:eastAsia="Arial" w:hAnsi="Arial"/>
          <w:sz w:val="18"/>
          <w:szCs w:val="18"/>
          <w:color w:val="auto"/>
        </w:rPr>
        <w:t xml:space="preserve"> and Occitane Region joint support agreement was entered into on June 2, 2017 and provides for conditional advances for a total amount of €0.4 million (€0.1 million from the Languedoc Roussillon Midi Pyrénées Region and €0.3 million from </w:t>
      </w:r>
      <w:r>
        <w:rPr>
          <w:rFonts w:ascii="Arial" w:cs="Arial" w:eastAsia="Arial" w:hAnsi="Arial"/>
          <w:sz w:val="18"/>
          <w:szCs w:val="18"/>
          <w:i w:val="1"/>
          <w:iCs w:val="1"/>
          <w:color w:val="auto"/>
        </w:rPr>
        <w:t>Bpifrance</w:t>
      </w:r>
      <w:r>
        <w:rPr>
          <w:rFonts w:ascii="Arial" w:cs="Arial" w:eastAsia="Arial" w:hAnsi="Arial"/>
          <w:sz w:val="18"/>
          <w:szCs w:val="18"/>
          <w:color w:val="auto"/>
        </w:rPr>
        <w:t>) for the Ebola program. All funds under this contract were received. In September 2019, we terminated this program due to the imminent licensing of a competing vaccine for this indication, as well as changes in the macroeconomic climate for public funding. The reimbursement of the conditional advance is spread over the period from September 2019 to June 2024.</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Bpifrance—COVID-19</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On June 22, 2020, we entered into agreements with Bpifrance setting out the conditions for aid to contribute to the financing of the development of obefazimod as a potential therapeutic option for the treatment of COVID-19 patients at risk of developing a severe form of the disease.</w:t>
      </w:r>
    </w:p>
    <w:p>
      <w:pPr>
        <w:spacing w:after="0" w:line="12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This financing covered the conduct of a “miR-AGE” international clinical trial as well as all additional clinical, preclinical, regulatory and industrial work to enable registration and accelerated access to obefazimod in the COVID-19 indication. The “miR-AGE” clinical trial was conducted under our sole responsibility, in collaboration with the University Hospital of Nice, which was tasked with the financial and administrative coordination of the study, with the rest of the work being borne by us.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maximum amount of aid available under the framework agreement was €36.0 million, of which €19.8 million was allocated directly to us (reflecting €15.9 million in conditional advances and €4.0 million in grants). Bpifrance’s participation was paid according to the achievement of certain phases and milestones during the development program for the COVID-19 Program, broken down as follows:</w:t>
      </w:r>
    </w:p>
    <w:p>
      <w:pPr>
        <w:spacing w:after="0" w:line="89" w:lineRule="exact"/>
        <w:rPr>
          <w:sz w:val="20"/>
          <w:szCs w:val="20"/>
          <w:color w:val="auto"/>
        </w:rPr>
      </w:pPr>
    </w:p>
    <w:p>
      <w:pPr>
        <w:ind w:left="1080" w:right="3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grants for a maximum total amount of €20.1 million, including €4.0 million for us (or a grant rate of 16% of planned expenditure) and €16.2 million for the University Hospital of Nice (or a grant rate of 100% of planned expenditure);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conditional advances for a maximum total amount of €15.9 million for us (or a rate of 64% of total planned expenditure).</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of December 31, 2020, we had received a grant of €1.6 million and net proceeds from the conditional advance of €6.3 million. In view of the results of the study and the recommendations of the Data and Safety Monitoring Board, we terminated the study on March 5, 2021. As Bpifrance had recorded the project as unsuccessful, we recognized an income of €4.5 million (discounted amount) as a result of Bpifrance’s agreement to waive the conditions of the advance as of June 30, 2021.</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As of December 31, 2021, we had also received an additional payment covering expenses incurred until the termination date amounting to €3.3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Indebtedness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Kreos / Claret Financing Agreements</w:t>
      </w:r>
    </w:p>
    <w:p>
      <w:pPr>
        <w:spacing w:after="0" w:line="117"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On July 24, 2018, we entered into a €20 million venture loan agreement with KC (the “First KC Agreement”). The financing consisted of two tranches of structured debt financing: (i) a total principal amount of €10 million, comprised of (x) €8 million in non-convertible bonds issued in July 2018 and (y) €2 million in convertible bonds issued in August 2018 (the “First Tranche A Notes”) and (ii) a total principal amount of</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€10 million, comprised of (x) €8 million in non-convertible bonds and (y) €2 million in convertible bonds, each issued in May 2019 (the “First Tranche B Notes”, together with the First Tranche A Notes, the “First KC Notes”).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October 12, 2020, we entered into a bonds issue agreement with KC (the “Second KC Agreement”), pursuant to which we issued bonds in a total principal amount of €15 million, comprised of (i) a €10 million tranche (the “Second Tranche A Notes”) and a €5 million tranche (the “Second Tranche B Notes”), with an option to issue an additional €5 million tranche (the “Second Tranche C Notes” and collectively with the Second Tranche A Notes and the Second Tranche B Notes, the “Second KC Notes”).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Second Tranche A Notes were issued in October 2020, and the Second Tranche B Notes were issued in November 2020. The Second KC Notes rank pari passu with the First KC Notes.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August 20, 2023, we entered into the Framework Subscription Agreement with KC and Claret, as the Secured Lenders. Under this Framework Subscription Agreement, we may draw up to €75 million in structured debt financing in three tranches of €25 million in aggregate principal amount each, as further described below.</w:t>
      </w:r>
    </w:p>
    <w:p>
      <w:pPr>
        <w:spacing w:after="0" w:line="18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first tranche, with an aggregate principal amount of €25 million, takes the form of senior secured convertible bonds with warrants attached (i.e., the Kreos / Claret OCABSA). We drew the first tranche on August 21, 2023. On the same date, we repaid all outstanding amounts that remained due under the First KC Agreement and the Second KC Agreement. The Kreos / Claret OCABSA are convertible into ordinary shares at any time from their issuance at the request of their holders at a fixed conversion price of €21.2209, subject to standard adjustments, including anti-dilution and dividend protections.</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second tranche, with an aggregate principal amount of €25 million, takes the form of senior secured non-convertible bonds and may be drawn before March 31, 2024, subject to satisfaction of customary closing conditions. The drawdown of the second tranche is subject to a maximum 10% Debt-To-Market Capitalization Ratio at the time of drawdown. The “Debt-To-Market Capitalization Ratio” is calculated, on any relevant date, by dividing (i) our indebtedness (including amounts due under the Kreos / Claret Financing, but excluding amounts due under the Heights Financing), by</w:t>
      </w:r>
    </w:p>
    <w:p>
      <w:pPr>
        <w:spacing w:after="0" w:line="1" w:lineRule="exact"/>
        <w:rPr>
          <w:sz w:val="20"/>
          <w:szCs w:val="20"/>
          <w:color w:val="auto"/>
        </w:rPr>
      </w:pPr>
    </w:p>
    <w:p>
      <w:pPr>
        <w:ind w:left="120" w:hanging="4"/>
        <w:spacing w:after="0" w:line="260" w:lineRule="auto"/>
        <w:tabs>
          <w:tab w:leader="none" w:pos="3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market capitalization calculated by multiplying the number of our outstanding ordinary shares by the closing price of our ordinary shares on such relevant date.</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third tranche, with an aggregate principal amount of €25 million, takes the form of senior secured non-convertible bonds and may be drawn before July 31, 2024, subject to satisfaction of customary closing conditions. The drawdown of the third tranche is subject to a maximum 10% Debt-To-Market Capitalization Ratio at the time of drawdown and is conditional on our raising of a minimum of $125 million in gross proceeds through a listing on Nasdaq before June 30, 2024.</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more information regarding these agreements, see “Business—Key Collaborations and Partners—Financing Arrangements—Kreos / Claret Financing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OCEANE Bonds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On July 30, 2021, we issued €25 million 6% convertible senior unsecured and unsubordinated bonds due July 30, 2026 corresponding to 654,621 convertible bonds (the “OCEANE bonds”). The OCEANE bonds were exchangeable, at the option of the bondholders, for new or existing shares and bear interest at a rate of 6% per annum, payable semi-annually on January 30 and July 30 of each year, beginning January 30, 2022.</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Heights Convertible Notes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August 20, 2023, we entered into the Heights Subscription Agreement with Heights. Under the Heights Subscription Agreement, we may draw up to €75 million of the Heights Convertible Notes in two tranches of €35 million and €40 million, respectively, as further described below.</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first tranche in aggregate principal amount of €35 million was drawn on August 24, 2023. On the same date, we repaid all amounts due under the OCEANE bonds. The Heights Convertible Notes are convertible into ordinary shares at any time from their issuance at the request of the holder at a fixed conversion price set at €23.7674, subject to standard adjustments, including anti-dilution and dividend protections.</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second tranche in aggregate principal amount of up to €40 million may be drawn during the period from the date immediately following the three-month anniversary of the issuance of the first tranche to the first-year anniversary of the issuance of the first tranche. It may be drawn in up to two separate closings.</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For more information regarding these agreements, see “Business—Key Collaborations and Partners—Financing Arrangements—Heights Convertible Notes.”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State-Guaranteed Loan (Prêt Garantis par l’Etat (“PGE”))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June 2020, we obtained a non-dilutive financing in the form of a state-guaranteed loan of €5.0 million. The loan was structured with an initial maturity of 12 months at 0.25% and a five-year extension option. In March 2021, we exercised the five-year extension option with a one-year deferral of principal repayment, with the following conditions:</w:t>
      </w:r>
    </w:p>
    <w:p>
      <w:pPr>
        <w:spacing w:after="0" w:line="89"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revised interest rate of 0.58% per annum, excluding insurance and state-guaranteed premium;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state-guaranteed premium of €0.1 million to be paid by installments over the contract period starting in June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part of the completion of the capital increase from issuance of ordinary shares on September 2, 2022, we issued royalty certificates with a subscription price amounting to €2.9 million. The royalty certificates entitle their holders to royalties equal to 2% of the future net sales of obefazimod (worldwide and for all indications) as from the commercialization of such product. The amount of royalties that may be paid under the royalty certificates is capped at €172.0 million in the aggregate.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Cash Flows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our cash inflows and outflows for six-month periods ended June 30, 2023 and 2022 and the years ended December 31, 2022 and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vMerge w:val="restart"/>
          </w:tcPr>
          <w:p>
            <w:pPr>
              <w:spacing w:after="0"/>
              <w:rPr>
                <w:sz w:val="14"/>
                <w:szCs w:val="14"/>
                <w:color w:val="auto"/>
              </w:rPr>
            </w:pPr>
          </w:p>
        </w:tc>
        <w:tc>
          <w:tcPr>
            <w:tcW w:w="18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(45,048)</w:t>
            </w:r>
          </w:p>
        </w:tc>
        <w:tc>
          <w:tcPr>
            <w:tcW w:w="300" w:type="dxa"/>
            <w:vAlign w:val="bottom"/>
            <w:gridSpan w:val="2"/>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(53,936)</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(24,714)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(27,599)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(6,232)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(12,026)</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(2,953)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(1,712)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82,679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32,211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116,742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31,399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(33,751)</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(34,098)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87,432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60,701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60,701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26,950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60,701</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26,950</w:t>
            </w:r>
          </w:p>
        </w:tc>
        <w:tc>
          <w:tcPr>
            <w:tcW w:w="300" w:type="dxa"/>
            <w:vAlign w:val="bottom"/>
            <w:vMerge w:val="continue"/>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(56)%</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26,602</w:t>
            </w:r>
          </w:p>
        </w:tc>
        <w:tc>
          <w:tcPr>
            <w:tcW w:w="3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114,381</w:t>
            </w:r>
          </w:p>
        </w:tc>
        <w:tc>
          <w:tcPr>
            <w:tcW w:w="30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the year ended December 31, 2022, cash used in operating activities was €53.9 million, as compared to €45.0 million for the year ended December 31, 2021, an increase of €8.9 million, or 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For the year ended December 31, 2022, cash used in operating activities mainly reflected our net loss of €60.7 million and was primarily used for our research and development efforts (€48.3 million) as a result of progression of our portfolio development (partially offset by the elimination of the amortization of intangibles and depreciation of property and equipment on the ABX196 cash generating unit), enhanced by an increase in derivatives and liabilities fair value of €10.8 million, a decrease in trade payables of €2.4 million and offset by an increase in interest expenses of €7.0 million.</w:t>
      </w:r>
    </w:p>
    <w:p>
      <w:pPr>
        <w:spacing w:after="0" w:line="15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For the year ended December 31, 2021, cash used in operating activities mainly reflected our net loss of €42.5 million and was primarily used for our research and development efforts (€47.8 million) as a result of progression of our portfolio development and net non-cash expense of €1.9 million.</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the six-month period ended June 30, 2023, cash used in operating activities was €27.6 million, as compared to €24.7 million for the six-month period ended June 30, 2022, a decrease of €2.9 million, or 12%.</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six-month period ended June 30, 2023, cash used in operating activities mainly reflects our net operating loss of €37.3 million and was primarily used for our research and development efforts (€32.6 million) as a result of the progression of the UC Phase 3 clinical trial and partially offset by the net increase in our working capital (€9.2 million).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the six months ended June 30, 2022, cash used in operating activities was primarily used for our research and development efforts (€15.1 million) and to finance the net decrease in our working capital (€8.4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cash used in investing activities for the year ended December 31, 2022, was mainly composed of (i) CRO contracts advances for clinical trials which have to be recovered at the end of the trials, amounting to €12.2 million, and by (ii) the completion of the acquisition of Prosynergia in 2022 and the remaining payment of the acquisition price of €2.9 million, partially offset by (iii) the non-recurring €3.3 million advance repayment from University Hospital of Nice as part of the COVID-19 Program clinical trial.</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the year ended December 31, 2021, cash used in investing activities was €6.2 million, and was mainly composed by the €4.0 million advance payment to the University Hospital of Nice as part of the COVID-19 Program clinical trial, as well as our entry in 2021 of a €1.4 million loan agreement to fund the acquisition of Prosynergia and an advance payment made with respect to the acquisition of €0.3 million. The loan was made to allow early repayment by Prosynergia of its existing indebtedness. For accounting purposes, this loan is considered as a prepayment for the acquisition of Prosynergia’s assets.</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the six-month period ended June 30, 2023, cash used in investing activities was €1.7 million, as compared to €3.0 million for the six-month period ended June 30, 2022, a decrease of €1.2 million, or 42%. For the six-month period ended June 30, 2023, cash used in investing activities was mainly due to the payment of additional long-term CRO advances amounting to €1.6 million.</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For the six-month period ended June 30, 2022, cash used in investing activities was mainly due to the €2.9 million payment made for the acquisition of Prosynergia, including related costs and net of cash acquired.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For the year ended December 31, 2022, cash from financing activities was €32.2 million, which consisted primarily of €46.2 million of net proceeds from a capital increase (including transaction costs of €3.3 million), net proceeds from the issuance of the royalty certificates in an amount of €2.9 million, partially offset by €13.4 million of repayments under the First KC Notes and the Second KC Notes and interest paid.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the year ended December 31, 2021, cash from financing activities was €82.7 million, which consisted primarily of €60.0 million of net proceeds from a capital increase (including transaction costs of €4.2 million), €8.1 million of net proceeds from the exercise of share warrants (BSA) under the equity line agreement, €1.5 million of net proceeds from the exercise of other share warrants (BSA), and net proceeds from the issuance of the OCEANE bonds in an amount of €24.9 million, partially offset by €7.4 million of repayments under the First KC Notes and the Second KC Notes and interest paid.</w:t>
      </w:r>
    </w:p>
    <w:p>
      <w:pPr>
        <w:spacing w:after="0" w:line="188"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For the six-month period ended June 30, 2023, cash provided by financing activities was €116.7 million, which consisted of net proceeds from a capital increase of €123.3 million (including transaction costs of €6.7 million), partially offset by repayments under the First KC Notes and the Second KC Notes (in an amount of €3.7 million), PGE (in an amount of €1.3 million) and interest paid (in an amount of €1.2 million).</w:t>
      </w:r>
    </w:p>
    <w:p>
      <w:pPr>
        <w:spacing w:after="0" w:line="16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For the six-month period ended June 30, 2022, cash used in financing activities was €6.4 million, which consisted primarily of repayments under the First KC Notes and the Second KC Notes (in an amount of €5.4 million) and interest paid (in an amount of €0.9 million).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 and Loans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aggregate information about material contractual obligations as of June 30, 2023 and December 31, 2022.</w:t>
      </w:r>
    </w:p>
    <w:p>
      <w:pPr>
        <w:spacing w:after="0" w:line="23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commitment amounts in the table below are associated with contracts that are enforceable and legally binding and that specify all significant terms, including, fixed or minimum services to be used, fixed, minimum or variable price provisions, and the approximate timing of the actions under the contracts. Future events could cause actual payments to differ from these estimates. All amounts except the retirement benefits in the table below are presented gross and are undiscounted.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June 30, 2023</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9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Less than</w:t>
            </w: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More than</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center"/>
              <w:ind w:right="188"/>
              <w:spacing w:after="0" w:line="119" w:lineRule="exact"/>
              <w:rPr>
                <w:sz w:val="20"/>
                <w:szCs w:val="20"/>
                <w:color w:val="auto"/>
              </w:rPr>
            </w:pPr>
            <w:r>
              <w:rPr>
                <w:rFonts w:ascii="Arial" w:cs="Arial" w:eastAsia="Arial" w:hAnsi="Arial"/>
                <w:sz w:val="13"/>
                <w:szCs w:val="13"/>
                <w:b w:val="1"/>
                <w:bCs w:val="1"/>
                <w:color w:val="auto"/>
                <w:w w:val="98"/>
              </w:rPr>
              <w:t>Less than</w:t>
            </w: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More than</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1 year</w:t>
            </w: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3"/>
              </w:rPr>
              <w:t>1 year</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debt obligations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39,261</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83"/>
              </w:rPr>
              <w:t>52,445</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Lease obligations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846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1,403</w:t>
            </w: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rPr>
              <w:t>557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569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1,126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Retirements benefits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610</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Off-balance sheet obligations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194,731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194,731</w:t>
            </w: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rPr>
              <w:t>187,375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187,375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8"/>
              </w:rPr>
              <w:t>208,473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40,716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8"/>
              </w:rPr>
              <w:t>249,188</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199,475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37,077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236,552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the ordinary course of our business, we regularly use the services of subcontractors and enters into research and partnership arrangements with various CROs and with public-sector partners or subcontractors, who conduct clinical trials and studies in relation to the drug candidates. Off-balance sheet obligations in the table above are commitments related to these research and partnership agreements. They are classified at less than one year maturity in the absence of a fixed schedule in contracts, in case of multiple-year contracts, such as CRO contracts. CRO contracts include payments that are conditional to the completion of future development milestones.</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material cash requirements in the above table do not include potential future royalty payments related to the royalty certificates, amounting to 2% of the future net sales of obefazimod (worldwide and for all indications). The amount of royalties that may be paid under the royalty certificates is capped at €172.0 million in the aggregate. Royalty payments are expected to take place before the expiry date of the certificates, which is 15 years after their issuance date (September 2, 2037).</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December 31, 2022, our contractual obligations and loans were €249.2 million, comprising financial debt obligations of €52.4 million (in turn, comprising €13.1 million with respect to First KC Notes and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Second KC Notes, €25.0 million with respect to the OCEANE bonds, €5.0 million with respect to the PGE, €6.4 million with respect to conditional advances from Bpifrance and €2.9 million with respect to royalty certificates), and off-balance sheet obligations of €194.7 million with respect to purchase obligations.</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As of June 30, 2023, our contractual obligations and loans were €236.6 million comprising financial debt obligations of €47.4 million (in turn, comprising €9.4 million with respect to First KC Notes and Second KC Notes, €25.0 million with respect to the OCEANE bonds, €3.8 million with respect to the PGE, €6.3 million of conditional advances from Bpifrance and €2.9 million with respect to royalty certificates) and off-balance sheet obligations of €187.4 million with respect to purchase obligations.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 and Capital Expenditures Requirements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have incurred substantial operating losses since inception and expect to continue to incur significant operating losses for the foreseeable future and may never become profitable. For the six-month period ended June 30, 2023, we recorded a net loss of €52.0 million.</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of June 30, 2023, our cash and cash equivalents were €114.4 million. We believe that based on our current clinical plan and on our anticipated net proceeds from this offering, together with (a) our existing cash and cash equivalents of €114.4 million as of June 30, 2023, (b) the net proceeds of the August 2023 drawdown of the first tranches of the Kreos / Claret Financing and the Heights Financing, collectively amounting to €27.2 million (net of repayments of all outstanding amounts that remained due under the First KC Agreement, the Second KC Agreement and the OCEANE bonds), (c) the anticipated net proceeds from the drawdown of the second tranche of the Kreos / Claret Financing, amounting to €25 million (which is a portion of the total available drawdown of €65 million from the Kreos / Claret Financing and the Heights Financing) and (d) the expected Research Tax Credit (CIR) reimbursements would enable us to fund our operations through the fourth quarter of 2025. Under these assumptions and based on our current clinical plan, we would have sufficient funds to finance our operations through (i) the announcement of our top-line data from the Phase 3 ABTECT-1 and ABTECT-2 induction trials for UC and (ii) the announcement of our top-line data from the Phase 2a induction trial for CD.</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we further draw down on the third tranche of the Kreos / Claret Financing, amounting to €25 million and the second tranche of the Heights Financing amounting to €40 million, we expect to have sufficient funds to finance our operations through the first quarter of 2026. Under these assumptions and based on our current clinical plan, we would have sufficient funds to finance our operations through the announcement of our top-line data from the Phase 3 ABTECT maintenance trial for UC. For additional details relating to the Kreos / Claret Financing and the Heights Financing, see “Business—Key Collaborations and Partners—Financing Arrangements.”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size, progress, timing, and completion of our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potential new drug candidates we identify and decide to develop;</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drug candidates and any delays we may encounter as a result of evolving regulatory requirements or adverse results with respect to any of these drug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obefazimod and any other current or future drug candidates and costs involved in the creation of an effective sales and marketing organization;</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revenue, if any, we may derive either directly or in the form of milestones or royalty payments from our existing or future partnership or collaboration agreements;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severity, duration and impact of the Russia/Ukraine war, which may continue to adversely impact our business and clinical trials.</w:t>
      </w:r>
    </w:p>
    <w:p>
      <w:pPr>
        <w:spacing w:after="0" w:line="23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See “Risk Factors—Risks Related to our Financial Position and Need for Additional Capital” for additional risks associated with our substantial capital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must maintain effective internal controls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controls over financial reporting at the end of each fiscal year, starting with the end of the first full fiscal year after the completion of the U.S. offering. However, our independent registered public accounting firm will not be required to attest to the effectiveness of our internal controls over financial reporting for so long as we are an “emerging growth company,” which may be up to five fiscal years following the date of this U.S. offering. An independent assessment of the effectiveness of our internal controls could detect problems that our management’s assessment might not.</w:t>
      </w:r>
    </w:p>
    <w:p>
      <w:pPr>
        <w:spacing w:after="0" w:line="19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management has not completed an assessment of the effectiveness of our internal controls over financial reporting, and our independent registered public accounting firm has not conducted an audit of our internal controls over financial reporting. In conjunction with preparing our financial statements as of and for the years ended December 31, 2022 and 2021 and as of and for the six-month period ended June 30, 2023 for this offering, material weaknesses in our internal controls over financial reporting were identified. The material weaknesses related to a lack of risk assessment as well as formal, documented and implemented processes, controls and review procedures, specifically due to a lack of a sufficient number of professionals with an appropriate level of internal control knowledge, training and experience.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developing a remediation plan to address these material weaknesses and strengthen our controls in these areas. In this regard, we have started to reorganize our finance and accounting function by hiring additional experienced employees to provide more review and oversight over our financial processes. While we are working to remediate the material weaknesses as quickly and efficiently as possible, we cannot at this time provide the expected timeline in connection with implementing our remediation plan.</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June 30, 2023, we had not yet completed remediation of these material weaknesses. These remediation measures may be time-consuming and costly and might place significant demands on our financial and operational resources.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neither our management nor an independent registered public accounting firm has performed an evaluation of our internal control over financial reporting in accordance with the provisions of the Sarbanes-Oxley Act. Had we or our independent registered public accounting firm performed an evaluation of our internal control over financial reporting in accordance with the provisions of the Sarbanes-Oxley Act, additional material weaknesses may have been identified.</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See “Risk Factors—Risks Related to our Financial Position and Need for Additional Capital—There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Pronouncements Issued by the IASB</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description of accounting policies and estimates along with a description of the recently-issued accounting pronouncements that may potentially impact our financial position and results of operations is disclosed in Note 4 and 2 respectively to our financial statements as of and for the six-month period ended June 30, 2023, appearing elsewhere in this prospectus. We did not have to change our accounting policies or make retrospective adjustments as a result of adopting these standards, which include the following:</w:t>
      </w:r>
    </w:p>
    <w:p>
      <w:pPr>
        <w:spacing w:after="0" w:line="92"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Amendments to IAS 1 Presentation of Financial Statements and IFRS Practice Statement 2 – Disclosure of Accounting Policies;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Amendments to IAS 8 – Definition of Accounting Estimates;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Amendments to IAS 12 – Deferred Tax related to Assets and Liabilities arising from a Single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IFRS 17 – Insurance Contracts and related amendments.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did not elect for early application of the new standards, amendments and interpretations, which were issued but not mandatory as of January 1,</w:t>
      </w:r>
    </w:p>
    <w:p>
      <w:pPr>
        <w:spacing w:after="0" w:line="46"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2023. We assessed the impacts resulting from the application of these recently issued accounting pronouncements and concluded that impacts are not material.</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standards that are issued and not yet effective that are expected to have a material impact on our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description of quantitative and qualitative disclosures about market risk is disclosed in Note 27 to our financial statements as of and for the year ended December 31, 2022 appearing elsewhere in this prospectus.</w:t>
      </w:r>
    </w:p>
    <w:p>
      <w:pPr>
        <w:spacing w:after="0" w:line="17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principal financial instruments we hold are cash and cash equivalents. The purpose of holding these instruments is to finance our ongoing business activities. It is not our policy to invest in financial instruments for speculative purposes. We do not use derivative financial instruments for hedging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risks to which we are exposed are liquidity risk, interest rate risk, foreign currency exchange risk and credit risk.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Liquidity risk management aims to ensure that we dispose of sufficient liquidity and financial resources to be able to meet our present and future obligations. We prepare short-term cash forecasts and annual operating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cash flow forecasts as part of our budget procedures. Prudent liquidity risk management involves maintaining sufficient liquidity, having access to financial resources through appropriate credit facilities and being able to unwind market positions.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operations have required substantial amounts of cash since inception. Developing pharmaceutical drug candidates, including conducting clinical trials, is expensive, lengthy, and risky, and we expect our research and development expenses to increase substantially in connection with our ongoing activities. Accordingly, we will continue to require substantial additional capital to continue our clinical development activities and potentially engage in commercialization activities. See “—Operating Capital and Capital Expenditures Requirements.”</w:t>
      </w:r>
    </w:p>
    <w:p>
      <w:pPr>
        <w:spacing w:after="0" w:line="17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order to meet any additional financing needs, we may seek to obtain one or more dilutive or non-dilutive financings depending on market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We are exposed to market risks in connection with our medium- and long-term borrowings that are subject to variable interest rates. We have not adopted any other recurring mechanism of hedging to protect against interest rate fluctuations. We may consider in the future using a suitable policy to hedge interest rate risks in a more significant manner, if needed. Due to a significant increase in market interest rates over the year ended December 31, 2022, we have performed a reassessment of our exposure to interest rate risk. As of December 31, 2022, all of our financial liabilities accounted for at amortized cost bear fixed interest rates, except for the First KC Notes, which bear interest based on 3-month Euribor plus an 8% margin. Due to the</w:t>
      </w:r>
    </w:p>
    <w:p>
      <w:pPr>
        <w:spacing w:after="0" w:line="2"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3-month Euribor being capped at 1% (in accordance with contractual terms), the First Tranche A Notes being repaid in full in December 2022 and the First Tranche B Notes maturing November 2023, we have limited exposure. We believe a hypothetical 100 basis point change in interest rates during any of the periods presented would not have had a material effect on our financial statements included elsewhere in this prospectus. Over the six-month period ended June 30, 2023, we did not identify significant changes in market conditions that would lead us to reassess our exposure to interest rate risk.</w:t>
      </w:r>
    </w:p>
    <w:p>
      <w:pPr>
        <w:spacing w:after="0" w:line="161"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The Kreos / Claret OCABSA and the Heights Convertible Notes issued in August 2023 bear fixed annual interest rates of 9% and 6%, respectively. Therefore, the Kreos / Claret Financing and the Heights Financing do not contribute to increasing our exposure to interest rate risk.</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exposed to a risk of exchange rate fluctuations on commercial transactions performed in currencies different from our functional currency in which we record the transactions. We have not adopted any other recurring mechanism of hedging to protect against currency fluctuations. From time to time, we may nevertheless subscribe for currency term accounts in order to cover a commitment in currency. We may consider in the future using a suitable policy to hedge exchange risks in a more significant manner, if needed.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tables set forth the operating expenses we incurred in foreign currencies in the years ended December 31, 2021 and 2022 as well as the six-month periods ended June 30, 2023 and 2022. Some figures have been rounded. Accordingly, the totals in the tables may not be the exact sums of component items.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9"/>
          </w:tcPr>
          <w:p>
            <w:pPr>
              <w:jc w:val="right"/>
              <w:ind w:right="1100"/>
              <w:spacing w:after="0"/>
              <w:rPr>
                <w:sz w:val="20"/>
                <w:szCs w:val="20"/>
                <w:color w:val="auto"/>
              </w:rPr>
            </w:pPr>
            <w:r>
              <w:rPr>
                <w:rFonts w:ascii="Arial" w:cs="Arial" w:eastAsia="Arial" w:hAnsi="Arial"/>
                <w:sz w:val="14"/>
                <w:szCs w:val="14"/>
                <w:b w:val="1"/>
                <w:bCs w:val="1"/>
                <w:color w:val="auto"/>
                <w:w w:val="99"/>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400" w:type="dxa"/>
            <w:vAlign w:val="bottom"/>
            <w:tcBorders>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40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Foreign currency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Euros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w w:val="90"/>
              </w:rPr>
              <w:t>Foreign currency</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Euros</w:t>
            </w:r>
          </w:p>
        </w:tc>
        <w:tc>
          <w:tcPr>
            <w:tcW w:w="6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i w:val="1"/>
                <w:iCs w:val="1"/>
                <w:color w:val="auto"/>
              </w:rPr>
              <w:t>(thousands)</w:t>
            </w:r>
          </w:p>
        </w:tc>
        <w:tc>
          <w:tcPr>
            <w:tcW w:w="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Australian dollar</w:t>
            </w:r>
          </w:p>
        </w:tc>
        <w:tc>
          <w:tcPr>
            <w:tcW w:w="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Israeli shekel</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Japanese yen</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1,128</w:t>
            </w:r>
          </w:p>
        </w:tc>
        <w:tc>
          <w:tcPr>
            <w:tcW w:w="5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Hungarian forints</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1,454</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—  </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Pound sterling</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1,518</w:t>
            </w:r>
          </w:p>
        </w:tc>
        <w:tc>
          <w:tcPr>
            <w:tcW w:w="2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1,762</w:t>
            </w:r>
          </w:p>
        </w:tc>
        <w:tc>
          <w:tcPr>
            <w:tcW w:w="5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600</w:t>
            </w:r>
          </w:p>
        </w:tc>
        <w:tc>
          <w:tcPr>
            <w:tcW w:w="5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Swiss franc</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dollar</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1,494</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1,262</w:t>
            </w:r>
          </w:p>
        </w:tc>
        <w:tc>
          <w:tcPr>
            <w:tcW w:w="5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1,426</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1,370</w:t>
            </w: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3,050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2,144</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4"/>
                <w:szCs w:val="14"/>
                <w:b w:val="1"/>
                <w:bCs w:val="1"/>
                <w:color w:val="auto"/>
                <w:w w:val="97"/>
              </w:rPr>
              <w:t>Six months ended June 30,</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Foreign currency</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Euros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Foreign currency</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Euros</w:t>
            </w:r>
          </w:p>
        </w:tc>
        <w:tc>
          <w:tcPr>
            <w:tcW w:w="6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w:t>
            </w:r>
            <w:r>
              <w:rPr>
                <w:rFonts w:ascii="Arial" w:cs="Arial" w:eastAsia="Arial" w:hAnsi="Arial"/>
                <w:sz w:val="18"/>
                <w:szCs w:val="18"/>
                <w:i w:val="1"/>
                <w:iCs w:val="1"/>
                <w:color w:val="auto"/>
              </w:rPr>
              <w:t>thousands</w:t>
            </w: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Danish Kroner</w:t>
            </w:r>
          </w:p>
        </w:tc>
        <w:tc>
          <w:tcPr>
            <w:tcW w:w="40" w:type="dxa"/>
            <w:vAlign w:val="bottom"/>
          </w:tcPr>
          <w:p>
            <w:pPr>
              <w:spacing w:after="0"/>
              <w:rPr>
                <w:sz w:val="18"/>
                <w:szCs w:val="18"/>
                <w:color w:val="auto"/>
              </w:rPr>
            </w:pPr>
          </w:p>
        </w:tc>
        <w:tc>
          <w:tcPr>
            <w:tcW w:w="136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1600" w:type="dxa"/>
            <w:vAlign w:val="bottom"/>
            <w:gridSpan w:val="4"/>
          </w:tcPr>
          <w:p>
            <w:pPr>
              <w:jc w:val="right"/>
              <w:ind w:right="520"/>
              <w:spacing w:after="0"/>
              <w:rPr>
                <w:sz w:val="20"/>
                <w:szCs w:val="20"/>
                <w:color w:val="auto"/>
              </w:rPr>
            </w:pPr>
            <w:r>
              <w:rPr>
                <w:rFonts w:ascii="Arial" w:cs="Arial" w:eastAsia="Arial" w:hAnsi="Arial"/>
                <w:sz w:val="18"/>
                <w:szCs w:val="18"/>
                <w:color w:val="auto"/>
              </w:rPr>
              <w:t>113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Hungarian forints</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6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3,517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Pound sterling</w:t>
            </w:r>
          </w:p>
        </w:tc>
        <w:tc>
          <w:tcPr>
            <w:tcW w:w="1400" w:type="dxa"/>
            <w:vAlign w:val="bottom"/>
            <w:gridSpan w:val="4"/>
          </w:tcPr>
          <w:p>
            <w:pPr>
              <w:ind w:left="840"/>
              <w:spacing w:after="0"/>
              <w:rPr>
                <w:sz w:val="20"/>
                <w:szCs w:val="20"/>
                <w:color w:val="auto"/>
              </w:rPr>
            </w:pPr>
            <w:r>
              <w:rPr>
                <w:rFonts w:ascii="Arial" w:cs="Arial" w:eastAsia="Arial" w:hAnsi="Arial"/>
                <w:sz w:val="18"/>
                <w:szCs w:val="18"/>
                <w:color w:val="auto"/>
              </w:rPr>
              <w:t>432</w:t>
            </w:r>
          </w:p>
        </w:tc>
        <w:tc>
          <w:tcPr>
            <w:tcW w:w="1220" w:type="dxa"/>
            <w:vAlign w:val="bottom"/>
            <w:gridSpan w:val="5"/>
          </w:tcPr>
          <w:p>
            <w:pPr>
              <w:jc w:val="right"/>
              <w:ind w:right="520"/>
              <w:spacing w:after="0"/>
              <w:rPr>
                <w:sz w:val="20"/>
                <w:szCs w:val="20"/>
                <w:color w:val="auto"/>
              </w:rPr>
            </w:pPr>
            <w:r>
              <w:rPr>
                <w:rFonts w:ascii="Arial" w:cs="Arial" w:eastAsia="Arial" w:hAnsi="Arial"/>
                <w:sz w:val="18"/>
                <w:szCs w:val="18"/>
                <w:color w:val="auto"/>
              </w:rPr>
              <w:t>513</w:t>
            </w:r>
          </w:p>
        </w:tc>
        <w:tc>
          <w:tcPr>
            <w:tcW w:w="1600" w:type="dxa"/>
            <w:vAlign w:val="bottom"/>
            <w:gridSpan w:val="4"/>
          </w:tcPr>
          <w:p>
            <w:pPr>
              <w:jc w:val="right"/>
              <w:ind w:right="520"/>
              <w:spacing w:after="0"/>
              <w:rPr>
                <w:sz w:val="20"/>
                <w:szCs w:val="20"/>
                <w:color w:val="auto"/>
              </w:rPr>
            </w:pPr>
            <w:r>
              <w:rPr>
                <w:rFonts w:ascii="Arial" w:cs="Arial" w:eastAsia="Arial" w:hAnsi="Arial"/>
                <w:sz w:val="18"/>
                <w:szCs w:val="18"/>
                <w:color w:val="auto"/>
              </w:rPr>
              <w:t>198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p>
        </w:tc>
        <w:tc>
          <w:tcPr>
            <w:tcW w:w="14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115</w:t>
            </w:r>
          </w:p>
        </w:tc>
        <w:tc>
          <w:tcPr>
            <w:tcW w:w="12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16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Swiss franc</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220" w:type="dxa"/>
            <w:vAlign w:val="bottom"/>
            <w:gridSpan w:val="5"/>
          </w:tcPr>
          <w:p>
            <w:pPr>
              <w:jc w:val="right"/>
              <w:ind w:right="520"/>
              <w:spacing w:after="0"/>
              <w:rPr>
                <w:sz w:val="20"/>
                <w:szCs w:val="20"/>
                <w:color w:val="auto"/>
              </w:rPr>
            </w:pPr>
            <w:r>
              <w:rPr>
                <w:rFonts w:ascii="Arial" w:cs="Arial" w:eastAsia="Arial" w:hAnsi="Arial"/>
                <w:sz w:val="18"/>
                <w:szCs w:val="18"/>
                <w:color w:val="auto"/>
              </w:rPr>
              <w:t>4</w:t>
            </w:r>
          </w:p>
        </w:tc>
        <w:tc>
          <w:tcPr>
            <w:tcW w:w="1600" w:type="dxa"/>
            <w:vAlign w:val="bottom"/>
            <w:gridSpan w:val="4"/>
          </w:tcPr>
          <w:p>
            <w:pPr>
              <w:jc w:val="right"/>
              <w:ind w:right="52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dollar</w:t>
            </w:r>
          </w:p>
        </w:tc>
        <w:tc>
          <w:tcPr>
            <w:tcW w:w="140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533</w:t>
            </w:r>
          </w:p>
        </w:tc>
        <w:tc>
          <w:tcPr>
            <w:tcW w:w="12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485</w:t>
            </w:r>
          </w:p>
        </w:tc>
        <w:tc>
          <w:tcPr>
            <w:tcW w:w="16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1,320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1,233</w:t>
            </w: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108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w w:val="81"/>
              </w:rPr>
              <w:t>—  </w:t>
            </w:r>
          </w:p>
        </w:tc>
        <w:tc>
          <w:tcPr>
            <w:tcW w:w="2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1,012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1,504</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year ended December 31, 2022, the total amount of operating expenses we incurred in foreign currencies was €2.1 million, or 3.1% of our total operating expenses of €69.4 million in that year. For the year ended December 31, 2021, the total amount of operating expenses we incurred in foreign currencies was €3.0 million, or 5.7% of our total operating expenses of €53.4 million in that year.</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the six-month period ended June 30, 2023, the total amount of operating expenses we incurred in foreign currencies was €1.5 million, or 3.8% of our total operating expenses of €39.5 million for the period. As of June 30, 2023, we hold no assets in foreign currencies other than advance salary payments made to employees for $0.3 million. For the six-month period ended June 30, 2022, the total amount of operating expenses we incurred in foreign currencies was €1.0 million, or 3.6% of our total operating expenses of €28.3 million for the period. As of June 30, 2022, we held no assets in foreign currencies.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credit risk related to our cash and cash equivalents is not significant in light of the quality of our co-contracting financial institutions. As of June 30, 2023, substantially all our cash and cash equivalents were maintained with one financial institution in France. While our deposit accounts are insured up to the legal limit, the balances we maintain may, at times, exceed this insured limit. As of June 30, 2023 we maintained €114.3 million in bank deposit accounts that are in excess of the legally insured limit in one legally insured financial institution. We have not experienced any losses in such accounts and we do not believe that we are exposed to any significant credit risk related to these instruments.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credit risk related to our other receivables and related account is minimal. In particular, the credit risk related to advances made to CROs is deemed insignificant due to their credit ratings.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(“JOBS Act”). An emerging growth company may take advantage of specified reduced reporting and other burdens that are otherwise applicable generally to public companies. These provisions include:</w:t>
      </w:r>
    </w:p>
    <w:p>
      <w:pPr>
        <w:spacing w:after="0" w:line="89" w:lineRule="exact"/>
        <w:rPr>
          <w:sz w:val="20"/>
          <w:szCs w:val="20"/>
          <w:color w:val="auto"/>
        </w:rPr>
      </w:pPr>
    </w:p>
    <w:p>
      <w:pPr>
        <w:ind w:left="1080" w:right="3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75"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may be adopted by the PCAOB regarding mandatory audit firm rotation or a supplement to the auditor’s report providing additional information about the audit and the financial statements; and</w:t>
      </w:r>
    </w:p>
    <w:p>
      <w:pPr>
        <w:spacing w:after="0" w:line="51"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reduced disclosure about our company’s executive compensation arrangements and exemptions from the requirements to obtain a non-binding advisory vote on executive compensation or a shareholder approval of any golden parachute arrangements.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$1.235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are not able to avail ourselves of this extended transition period and, as a result, we will adopt new or revised accounting standards on the relevant dates on which adoption of such standards is required by the IASB.</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Upon consummation of the offering, we will report under the Exchange Act as a non-U.S. company with foreign private issuer status. As a result, in accordance with Nasdaq Listing Rule 5615(a)(3), we may choose to comply with home country governance requirements and certain exemptions thereunder rather than complying with certain of the corporate governance requirements of Nasdaq.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82" w:lineRule="exact"/>
        <w:rPr>
          <w:sz w:val="20"/>
          <w:szCs w:val="20"/>
          <w:color w:val="auto"/>
        </w:rPr>
      </w:pPr>
    </w:p>
    <w:p>
      <w:pPr>
        <w:ind w:left="108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with respect to a security registered under the Exchange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a clinical-stage biotechnology company focused on developing therapeutics that harness the body’s natural regulatory mechanisms to modulate the immune response in patients with chronic inflammatory diseases. We are currently evaluating our lead drug candidate, obefazimod, in Phase 3 clinical trials for the treatment of adults with moderately to severely active ulcerative colitis (“UC”). We are also in the planning stages of initiating a Phase 2a clinical trial of obefazimod in patients with Crohn’s disease (“CD”), as well as evaluating other potential inflammatory indications.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inflammatory bowel diseases (“IBD”), chronic conditions involving inflammation of the gastrointestinal (“GI”) tract, of which the two most common forms are UC and CD. As of 2022, an aggregate of approximately 2.9 million patients across the United States, EU4 (France, Germany, Italy and Spain), the United Kingdom and Japan suffered from IBD, with 1.5 million of these patients in the United States alone.</w:t>
      </w:r>
    </w:p>
    <w:p>
      <w:pPr>
        <w:spacing w:after="0" w:line="17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One of the primary goals of IBD therapy is to achieve durable clinical remission while simultaneously taking into consideration a patient’s quality of life and concerns regarding potential side effects. Despite a number of different therapies approved for UC and CD, the vast majority of these therapies require chronic administration via injections or intravenous infusions, and may come with serious and concerning warnings, including, but not limited to, risks of serious infections leading to hospitalizations or death and increased risks of various malignancies. A vast majority of IBD patients do not achieve clinical remission with existing therapies, and a significant number of patients will lose response over time, especially those patients on TNF-a inhibitor therapy where anti-drug antibodies are very common. Further, despite the increased number of biosimilars, such as TNF-a inhibitor therapies, becoming available for the treatment of IBD, biosimilars unfortunately do not alleviate any of the potential side effect concerns that often cause patients to delay, or avoid altogether, stepping up to more advanced therapies. In addition, although a small number of oral therapies have more recently been approved for the treatment of IBD, these therapies also come with concerning potential side effects, which can discourage patients from initiating treatment with advanced therapies. Therefore, there continues to be significant unmet need for novel oral therapies with durable efficacy, improved safety profiles and minimal preinitiation requirements for patients with moderately to severely active IBD. Moreover, we believe the IBD market has significant growth potential driven by growing diagnosis of these diseases and increased penetration of oral treatments with improved benefit/risk profiles.</w:t>
      </w:r>
    </w:p>
    <w:p>
      <w:pPr>
        <w:spacing w:after="0" w:line="18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9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Janus kinase (“JAK”) inhibitors. Greater than 90% of patients previously exposed to advanced therapy prior to enrollment were highly refractory, having failed two advanced therapies.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April 2023, we reported the results from the final analysis of our Phase 2b open-label maintenance trial, including 217 patients of which 164 patients (76%) completed the second year of once-daily oral treatment with 50 mg obefazimod. At the conclusion of the second year of treatment, 114 of the 217 patients enrolled (53%) achieved clinical remission and 158 patients (73%) achieved clinical response. Among the 98 bio-refractory patients,</w:t>
      </w:r>
    </w:p>
    <w:p>
      <w:pPr>
        <w:spacing w:after="0" w:line="2"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66 patients (67%) had a clinical response, 38 patients (39%) were in clinical remission, 46 patients (47%) had endoscopic improvement and 20 patients (20%) had endoscopic remission at week 96. Among the 124 patients that achieved clinical response at the end of the 8-week induction period of the double-blind study, 82 patients (66%) achieved clinical remission at week 48, mimicking the re-randomization of responders approach typically utilized in Phase 3 maintenance trials. Of the 124 patients in clinical response at week 8, 74 patients (60%) achieved clinical remission, 95 patients (77%) had clinical response, 79 patients (64%) achieved endoscopic improvement and 52 patients (42%) achieved endoscopic remission at week 96.</w:t>
      </w:r>
    </w:p>
    <w:p>
      <w:pPr>
        <w:spacing w:after="0" w:line="1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 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 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Obefazimod’s tolerability profile indicates potentially important clinical differentiation. As of November 30, 2022 (the last safety data cut-off date), 1,074 patients and volunteers had been treated with obefazimod, of which 209 patients were treated with 50 mg obefazimod for one year or more with no change in the observed tolerability profile underscored by 76% of patients that remained on therapy throughout the two-year open-label maintenance trial period. No new adverse safety signals were observed.</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initiated our pivotal Phase 3 clinical trials of obefazimod for the treatment of moderately to severely active UC in October 2022, which consist of two induction trials (ABTECT-1 and ABTECT-2) and one ABTECT maintenance trial. Top-line data from the ABTECT-1 and ABTECT-2 induction trials is expected to be announced in the first quarter of 2025, and top-line data from the ABTECT maintenance trial is expected to be announced in the first quarter of 2026. We intend to (i) file an Investigational New Drug Application (“IND”) in the fourth quarter of 2023, (ii) initiate a Phase 2a clinical trial in patients with CD in the first quarter of 2024 and (iii) announce Phase 2a induction trial top-line results in the second half of 2025 with the objective to demonstrate clinical response and tolerability profile consistent with that already observed in our clinical trials for moderately to severely active UC. Based on the results from this Phase 2a clinical trial, we intend to proceed directly to a Phase 3 clinical trial.</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team is comprised of industry leaders in the fields of biology, data analytics and drug development, as well as scientific experts in chronic inflammatory diseases, including IBD. We are led by Marc de Garidel, our Chief Executive Officer, who has more than 40 years of experience in the pharmaceutical and biotechnology sector.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Our lead drug candidate, obefazimod, is in clinical development for the treatment of moderately to severely active 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the miR-124 platform.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chart below sets forth details relating to the current stages of development of our lead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103620" cy="1929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036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Decision subject to results of the Phase 3 monotherapy induction trials.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IBD Overview and Limitations of Existing Treatments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IBD, such as UC and CD, is a chronic life-long immune-mediated inflammatory condition of the GI tract with many contributing factors, including genetic, environmental and immunologic. UC and CD are the two most common forms of IBD and are characterized by dysregulation of lymphocytes contributing to inflammation. Both UC and CD are chronic, relapsing, remitting, inflammatory conditions of the GI tract that begin most commonly during adolescence and young adulthood. UC involves the innermost lining of the large intestine, and symptoms include abdominal pain and diarrhea, frequently with blood and mucus. CD can affect the entire thickness of the bowel wall and all parts of the GI tract from mouth to anus. CD symptoms include abdominal pain, diarrhea and other more systemic symptoms, such as weight loss, nutritional deficiencies and fever.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IBD, as of 2022, affected approximately 1.5 million patients in the United States alone. As of 2022, the prevalence of UC and CD in the United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States were estimated at approximately 0.9 million and 0.6 million patients, respectively. The prevalence of IBD in the EU4 and the United Kingdom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estimated at 1.2 million with approximately 0.7 million patients with UC and 0.5 million patients with CD. As of 2022, an aggregate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 million patients across the United States, EU4, the United Kingdom and Japan suffered from IBD. This figure is expected to grow to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 million patients by 2028.</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One of the primary goals of IBD therapy is to achieve durable clinical remission while simultaneously taking into consideration a patient’s quality of life and concerns regarding potential side effects. Despite a number of different therapies approved for UC and CD, the vast majority of these therapies require chronic administration via injections or intravenous infusions, and may come with serious and concerning warnings, including, but not limited to, risks of serious infections leading to hospitalizations or death and increased risks of various malignancies. A vast majority of IBD patients do not achieve clinical remission with existing therapies, and a significant number of patients will lose response over time, especially those patients on TNF-a inhibitor therapy where anti-drug antibodies are very common. Further, despite the increased number of biosimilars, such as TNF-a inhibitor therapies, becoming available for the treatment of IBD, biosimilars unfortunately do not alleviate any of the potential side effect concerns that often cause patients to delay, or avoid altogether, stepping</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up to more advanced therapies. In addition, although a small number of oral therapies have more recently been approved for the treatment of IBD, these therapies also come with concerning potential side effects, which can also discourage patients from initiating treatment with advanced therapies. Therefore, there continues to be significant unmet need for novel oral therapies with durable efficacy, improved safety profiles and minimal preinitiation requirements for patients with moderately to severely active IBD. Moreover, we believe the IBD market has significant growth potential driven by growing diagnosis of these diseases and increased penetration of oral treatments with improved benefit/risk profiles.</w:t>
      </w:r>
    </w:p>
    <w:p>
      <w:pPr>
        <w:spacing w:after="0" w:line="17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In 2022, pharmaceutical sales in IBD were $16.3 billion in the United States and $7.4 billion in the rest of the world, totaling $23.7 billion worldwide. In 2028, pharmaceutical sales in IBD are estimated to be $17.5 billion and $26.8 billion in the United States and worldwide, respectively. Worldwide sales in the UC market were $7.4 billion in 2022 and are estimated to be $10.2 billion in 2028, while in the CD market worldwide sales reached $16.3 billion in 2022 and are estimated to be $16.6 billion in 2028. We believe the IBD market has significant growth potential driven by growing diagnosis of these diseases and increased penetration of oral treatments with improved benefit/risk profiles.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Medical treatment of IBD is typically divided into two types of therapy: induction and maintenance. Induction therapy is used to reduce inflammation quickly (in three months or less) and maintenance therapy is used to sustain that reduction. Patients with IBD are classified by the activity of their disease as either mild to moderately active or moderately to severely active based on the level of symptoms experienced, inflammatory biomarkers and severity of disease on endoscopy. The current standard of care for the treatment of patients with moderately to severely active IBD is to reduce inflammation with anti-inflammatory agents. Patients with mild to moderately active IBD are treated with so-called “conventional therapies” which are anti-inflammatory treatments that include: aminosalicylates (e.g., 5-ASAs), immunosuppressants or immunomodulators (e.g., 6-mercaptopurine, methotrexate and azathioprine) and corticosteroids.</w:t>
      </w:r>
    </w:p>
    <w:p>
      <w:pPr>
        <w:spacing w:after="0" w:line="19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Despite the widespread use of conventional therapies to treat mild to moderately active IBD, due to the progressive and lifelong nature of both UC and CD, for many patients the severity of their disease progresses in activity and are considered moderately to severely active. This requires patients and their physicians to consider using more targeted therapies typically termed “advanced therapies.” The majority of advanced therapies require chronic parenteral administration including TNF-a inhibitors (e.g., infliximab, adalimumab and golimumab), Interleukin (“IL”)-12/23 inhibitor (ustekinumab), anti-integrin antibodies (vedolizumab) or IL-23 inhibitors (mirikizumab). There are also two classes of oral treatments including JAK inhibitors (e.g., tofacitinib, filgotinib and upadacitinib) and sphingosine-1-phosphate (“S1P”) receptor agonists (ozanimod). Although these therapies have demonstrated efficacy in UC and/or CD, the majority of IBD patients do not achieve clinical remission, and a significant number of patients lose response over time, especially those treated with TNF-a inhibitor therapies where anti-drug antibodies are common. Due to mechanisms of action that are poorly understood, with each line of advanced therapy that is exhausted, patients become less likely to respond to the next advanced therapy utilized in the sequence of care.</w:t>
      </w:r>
    </w:p>
    <w:p>
      <w:pPr>
        <w:spacing w:after="0" w:line="19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Each of the advanced therapy classes are associated with notable side effect and safety tradeoffs that must be considered before initiating treatment. For instance:</w:t>
      </w:r>
    </w:p>
    <w:p>
      <w:pPr>
        <w:spacing w:after="0" w:line="76" w:lineRule="exact"/>
        <w:rPr>
          <w:sz w:val="20"/>
          <w:szCs w:val="20"/>
          <w:color w:val="auto"/>
        </w:rPr>
      </w:pPr>
    </w:p>
    <w:p>
      <w:pPr>
        <w:ind w:left="1080" w:right="24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TNF-a inhibitors</w:t>
      </w:r>
      <w:r>
        <w:rPr>
          <w:rFonts w:ascii="Arial" w:cs="Arial" w:eastAsia="Arial" w:hAnsi="Arial"/>
          <w:sz w:val="18"/>
          <w:szCs w:val="18"/>
          <w:color w:val="auto"/>
        </w:rPr>
        <w:t>: Boxed warnings for increased risk of serious infections leading to hospitalizations or death and various forms of malignancies are noted in the United States prescribing information with similar warnings in the European Medicines Agency (“EMA”) summary of product characteristics (“SmPCs”).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IL-12/23 inhibitors</w:t>
      </w:r>
      <w:r>
        <w:rPr>
          <w:rFonts w:ascii="Arial" w:cs="Arial" w:eastAsia="Arial" w:hAnsi="Arial"/>
          <w:sz w:val="18"/>
          <w:szCs w:val="18"/>
          <w:color w:val="auto"/>
        </w:rPr>
        <w:t>: Warnings in label for serious infections, tuberculosis, malignancies and posterior reversible encephalopathy syndrome (PRES).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Anti-integrin antibodies</w:t>
      </w:r>
      <w:r>
        <w:rPr>
          <w:rFonts w:ascii="Arial" w:cs="Arial" w:eastAsia="Arial" w:hAnsi="Arial"/>
          <w:sz w:val="18"/>
          <w:szCs w:val="18"/>
          <w:color w:val="auto"/>
        </w:rPr>
        <w:t>: Warnings in label for potential risk of Progressive Multifocal Leukoencephalopathy (“PML”), gut specificity of vedolizumab may be connected with exacerbating or causing extraintestinal manifestations.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IL-23 inhibitors</w:t>
      </w:r>
      <w:r>
        <w:rPr>
          <w:rFonts w:ascii="Arial" w:cs="Arial" w:eastAsia="Arial" w:hAnsi="Arial"/>
          <w:sz w:val="18"/>
          <w:szCs w:val="18"/>
          <w:color w:val="auto"/>
        </w:rPr>
        <w:t>: Warnings in the EU for severe infections and risk of hepatic enzyme elevations (mirikizumab not approved in the United States).</w:t>
      </w:r>
    </w:p>
    <w:p>
      <w:pPr>
        <w:spacing w:after="0" w:line="75" w:lineRule="exact"/>
        <w:rPr>
          <w:rFonts w:ascii="Arial" w:cs="Arial" w:eastAsia="Arial" w:hAnsi="Arial"/>
          <w:sz w:val="18"/>
          <w:szCs w:val="18"/>
          <w:color w:val="auto"/>
        </w:rPr>
      </w:pPr>
    </w:p>
    <w:p>
      <w:pPr>
        <w:jc w:val="both"/>
        <w:ind w:left="1080" w:right="58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JAK inhibitors</w:t>
      </w:r>
      <w:r>
        <w:rPr>
          <w:rFonts w:ascii="Arial" w:cs="Arial" w:eastAsia="Arial" w:hAnsi="Arial"/>
          <w:sz w:val="18"/>
          <w:szCs w:val="18"/>
          <w:color w:val="auto"/>
        </w:rPr>
        <w:t>: Boxed warnings for increased risk of serious infections leading to hospitalization or death, higher rates of all-cause mortality, malignancies, cardiovascular death, myocardial infarction, stroke and thrombosis appear in the United States prescribing information with similar warnings in the EU.</w:t>
      </w:r>
    </w:p>
    <w:p>
      <w:pPr>
        <w:spacing w:after="0" w:line="89"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S1P receptor agonists</w:t>
      </w:r>
      <w:r>
        <w:rPr>
          <w:rFonts w:ascii="Arial" w:cs="Arial" w:eastAsia="Arial" w:hAnsi="Arial"/>
          <w:sz w:val="17"/>
          <w:szCs w:val="17"/>
          <w:color w:val="auto"/>
        </w:rPr>
        <w:t>: Warnings in label for infections, bradyarrhythmia and atrioventricular conduction delays, liver injury and macular edema. These warnings result in multiple preinitiation requirements prior to initiating therapy. Risk of PML also exists.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Patients and physicians must take into consideration the lifelong burden of chronic parenteral administration for injectable agents and the potential safety warnings for all therapies when deciding which treatment, if any, to initiate.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current UC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2280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patients who do not or no longer respond to treatment, or experience complications, surgical treatment may be necessary. Approximately 50% to 80% of CD patients and 10% to 30% of UC patients require surgery over their lifetime. In light of the above, we believe that there is significant unmet medical need in the UC treatment paradigm due to imperfect existing therapies with unfavorable clinical characteristics and limited efficacy that frequently wanes over time. A general patient preference for oral agents over injectables suggests a potential untapped market opportunity available for efficacious, well-tolerated oral therapies.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believe the following strengths will allow us to advance our proprietary drug candidates through clinical trials, while building upon our advanced position in the development of therapeutics for IBD and other chronic inflammatory diseases:</w:t>
      </w:r>
    </w:p>
    <w:p>
      <w:pPr>
        <w:spacing w:after="0" w:line="72" w:lineRule="exact"/>
        <w:rPr>
          <w:sz w:val="20"/>
          <w:szCs w:val="20"/>
          <w:color w:val="auto"/>
        </w:rPr>
      </w:pPr>
    </w:p>
    <w:p>
      <w:pPr>
        <w:ind w:left="5480" w:right="1480" w:hanging="4824"/>
        <w:spacing w:after="0" w:line="454" w:lineRule="auto"/>
        <w:tabs>
          <w:tab w:leader="none" w:pos="1079"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Our focus on indications of high unmet need and substantial commercial potential, with an initial focus on IBD. </w:t>
      </w: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IBD, chronic conditions involving inflammation of the GI tract, of which the two most common forms are UC and CD.</w:t>
      </w:r>
    </w:p>
    <w:p>
      <w:pPr>
        <w:spacing w:after="0" w:line="80" w:lineRule="exact"/>
        <w:rPr>
          <w:sz w:val="20"/>
          <w:szCs w:val="20"/>
          <w:color w:val="auto"/>
        </w:rPr>
      </w:pPr>
    </w:p>
    <w:p>
      <w:pPr>
        <w:ind w:left="1100" w:right="260"/>
        <w:spacing w:after="0" w:line="259" w:lineRule="auto"/>
        <w:rPr>
          <w:sz w:val="20"/>
          <w:szCs w:val="20"/>
          <w:color w:val="auto"/>
        </w:rPr>
      </w:pPr>
      <w:r>
        <w:rPr>
          <w:rFonts w:ascii="Arial" w:cs="Arial" w:eastAsia="Arial" w:hAnsi="Arial"/>
          <w:sz w:val="18"/>
          <w:szCs w:val="18"/>
          <w:color w:val="auto"/>
        </w:rPr>
        <w:t>We believe the IBD market has significant growth potential driven by growing diagnosis of these diseases and increased penetration of oral treatments with improved benefit/risk profiles. We believe the need for differentiated treatment options is high, in particular for patients with moderate and severe forms of IBD, for whom available therapies often have limited efficacy and durability while carrying significant safety and tolerability challenges.</w:t>
      </w:r>
    </w:p>
    <w:p>
      <w:pPr>
        <w:spacing w:after="0" w:line="88"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We believe we are market leaders in leveraging micro-RNA biology to target inflammation.</w:t>
      </w:r>
    </w:p>
    <w:p>
      <w:pPr>
        <w:spacing w:after="0" w:line="121" w:lineRule="exact"/>
        <w:rPr>
          <w:rFonts w:ascii="Arial" w:cs="Arial" w:eastAsia="Arial" w:hAnsi="Arial"/>
          <w:sz w:val="18"/>
          <w:szCs w:val="18"/>
          <w:color w:val="auto"/>
        </w:rPr>
      </w:pPr>
    </w:p>
    <w:p>
      <w:pPr>
        <w:ind w:left="1100"/>
        <w:spacing w:after="0" w:line="271" w:lineRule="auto"/>
        <w:rPr>
          <w:rFonts w:ascii="Arial" w:cs="Arial" w:eastAsia="Arial" w:hAnsi="Arial"/>
          <w:sz w:val="18"/>
          <w:szCs w:val="18"/>
          <w:color w:val="auto"/>
        </w:rPr>
      </w:pPr>
      <w:r>
        <w:rPr>
          <w:rFonts w:ascii="Arial" w:cs="Arial" w:eastAsia="Arial" w:hAnsi="Arial"/>
          <w:sz w:val="17"/>
          <w:szCs w:val="17"/>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Robust data generated from our Phase 2 clinical trials of obefazimod for the treatment of moderately to severely active UC.</w:t>
      </w:r>
    </w:p>
    <w:p>
      <w:pPr>
        <w:spacing w:after="0" w:line="132" w:lineRule="exact"/>
        <w:rPr>
          <w:rFonts w:ascii="Arial" w:cs="Arial" w:eastAsia="Arial" w:hAnsi="Arial"/>
          <w:sz w:val="17"/>
          <w:szCs w:val="17"/>
          <w:color w:val="auto"/>
        </w:rPr>
      </w:pPr>
    </w:p>
    <w:p>
      <w:pPr>
        <w:ind w:left="1100" w:right="20"/>
        <w:spacing w:after="0" w:line="254" w:lineRule="auto"/>
        <w:rPr>
          <w:rFonts w:ascii="Arial" w:cs="Arial" w:eastAsia="Arial" w:hAnsi="Arial"/>
          <w:sz w:val="17"/>
          <w:szCs w:val="17"/>
          <w:color w:val="auto"/>
        </w:rPr>
      </w:pPr>
      <w:r>
        <w:rPr>
          <w:rFonts w:ascii="Arial" w:cs="Arial" w:eastAsia="Arial" w:hAnsi="Arial"/>
          <w:sz w:val="18"/>
          <w:szCs w:val="18"/>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 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JAK inhibitors. Greater than 90% of patients previously exposed to advanced therapy prior to enrollment were highly refractory, having failed at least two advanced therapies.</w:t>
      </w:r>
    </w:p>
    <w:p>
      <w:pPr>
        <w:spacing w:after="0" w:line="93"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Our lead drug candidate, obefazimod, has been well-tolerated in our clinical trials to date.</w:t>
      </w:r>
    </w:p>
    <w:p>
      <w:pPr>
        <w:spacing w:after="0" w:line="121" w:lineRule="exact"/>
        <w:rPr>
          <w:rFonts w:ascii="Arial" w:cs="Arial" w:eastAsia="Arial" w:hAnsi="Arial"/>
          <w:sz w:val="18"/>
          <w:szCs w:val="18"/>
          <w:color w:val="auto"/>
        </w:rPr>
      </w:pPr>
    </w:p>
    <w:p>
      <w:pPr>
        <w:ind w:left="1100"/>
        <w:spacing w:after="0" w:line="289" w:lineRule="auto"/>
        <w:rPr>
          <w:rFonts w:ascii="Arial" w:cs="Arial" w:eastAsia="Arial" w:hAnsi="Arial"/>
          <w:sz w:val="18"/>
          <w:szCs w:val="18"/>
          <w:color w:val="auto"/>
        </w:rPr>
      </w:pPr>
      <w:r>
        <w:rPr>
          <w:rFonts w:ascii="Arial" w:cs="Arial" w:eastAsia="Arial" w:hAnsi="Arial"/>
          <w:sz w:val="16"/>
          <w:szCs w:val="16"/>
          <w:color w:val="auto"/>
        </w:rPr>
        <w:t>Obefazimod’s tolerability profile indicates potentially important clinical differentiation. Many existing therapies for IBD have been limited by safety and tolerability concerns, including increased risks of serious infections or various malignancies, sometimes requiring warning labels. By contrast, as of November 30, 2022 (the last safety data cut-off date), the tolerability profile of obefazimod is supported by more than 1,074 patients and volunteers that had been treated with obefazimod, of which 209 patients were treated with 50 mg obefazimod for one year or more with no change in the observed tolerability profile. In addition, to date, the entire obefazimod safety database presents no death or malignancies and no reported clinically significant changes in laboratory parameters, such as liver function, hemoglobin levels and white blood cell counts. The most common treatment emergent adverse event (“TEAE”) reported has been mild to moderate headache, which has been transient and manageable with or without over-the-counter medications. Furthermore, at present, no increased rate of opportunistic infections or malignancies compared with placebo have been observed across all clinical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trials. We conduct an annual analysis of clinical safety data from our ongoing clinical trials using an annual cut-off date of November 30 with the intention to provide additional safety data in January of the following year.</w:t>
      </w:r>
    </w:p>
    <w:p>
      <w:pPr>
        <w:spacing w:after="0" w:line="72" w:lineRule="exact"/>
        <w:rPr>
          <w:sz w:val="20"/>
          <w:szCs w:val="20"/>
          <w:color w:val="auto"/>
        </w:rPr>
      </w:pPr>
    </w:p>
    <w:p>
      <w:pPr>
        <w:ind w:left="1080" w:right="800" w:hanging="424"/>
        <w:spacing w:after="0" w:line="282"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Compelling and differentiating clinical characteristics position obefazimod as a potential first-line advanced therapy for moderately to severely active UC.</w:t>
      </w:r>
    </w:p>
    <w:p>
      <w:pPr>
        <w:spacing w:after="0" w:line="57" w:lineRule="exact"/>
        <w:rPr>
          <w:rFonts w:ascii="Arial" w:cs="Arial" w:eastAsia="Arial" w:hAnsi="Arial"/>
          <w:sz w:val="18"/>
          <w:szCs w:val="18"/>
          <w:color w:val="auto"/>
        </w:rPr>
      </w:pPr>
    </w:p>
    <w:p>
      <w:pPr>
        <w:ind w:left="1100" w:right="20"/>
        <w:spacing w:after="0" w:line="254" w:lineRule="auto"/>
        <w:rPr>
          <w:rFonts w:ascii="Arial" w:cs="Arial" w:eastAsia="Arial" w:hAnsi="Arial"/>
          <w:sz w:val="18"/>
          <w:szCs w:val="18"/>
          <w:color w:val="auto"/>
        </w:rPr>
      </w:pPr>
      <w:r>
        <w:rPr>
          <w:rFonts w:ascii="Arial" w:cs="Arial" w:eastAsia="Arial" w:hAnsi="Arial"/>
          <w:sz w:val="18"/>
          <w:szCs w:val="18"/>
          <w:color w:val="auto"/>
        </w:rPr>
        <w:t>Therapies currently available to patients with UC in the first-line setting are limited to older, broad immunosuppressive agents with safety, tolerability and efficacy challenges. Advanced therapies, which include biologic agents such as TNF-a inhibitors, IL-12/23 inhibitors or IL-23 inhibitors, carry significant safety and tolerability challenges and their administration, as injectable agents, is not convenient to patients. Newer oral molecules, such as JAK inhibitors and S1P receptor agonists, while addressing convenient route of administration for patients, also present safety and tolerability challenges. Comparatively, 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 approved.</w:t>
      </w:r>
    </w:p>
    <w:p>
      <w:pPr>
        <w:spacing w:after="0" w:line="93" w:lineRule="exact"/>
        <w:rPr>
          <w:rFonts w:ascii="Arial" w:cs="Arial" w:eastAsia="Arial" w:hAnsi="Arial"/>
          <w:sz w:val="18"/>
          <w:szCs w:val="18"/>
          <w:color w:val="auto"/>
        </w:rPr>
      </w:pPr>
    </w:p>
    <w:p>
      <w:pPr>
        <w:ind w:left="1080" w:right="580" w:hanging="424"/>
        <w:spacing w:after="0" w:line="282"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Our experienced team is comprised of global industry leaders in the development of therapeutics for chronic inflammatory diseases.</w:t>
      </w:r>
    </w:p>
    <w:p>
      <w:pPr>
        <w:spacing w:after="0" w:line="57" w:lineRule="exact"/>
        <w:rPr>
          <w:rFonts w:ascii="Arial" w:cs="Arial" w:eastAsia="Arial" w:hAnsi="Arial"/>
          <w:sz w:val="18"/>
          <w:szCs w:val="18"/>
          <w:color w:val="auto"/>
        </w:rPr>
      </w:pPr>
    </w:p>
    <w:p>
      <w:pPr>
        <w:ind w:left="1100"/>
        <w:spacing w:after="0" w:line="270" w:lineRule="auto"/>
        <w:rPr>
          <w:rFonts w:ascii="Arial" w:cs="Arial" w:eastAsia="Arial" w:hAnsi="Arial"/>
          <w:sz w:val="18"/>
          <w:szCs w:val="18"/>
          <w:color w:val="auto"/>
        </w:rPr>
      </w:pPr>
      <w:r>
        <w:rPr>
          <w:rFonts w:ascii="Arial" w:cs="Arial" w:eastAsia="Arial" w:hAnsi="Arial"/>
          <w:sz w:val="17"/>
          <w:szCs w:val="17"/>
          <w:color w:val="auto"/>
        </w:rPr>
        <w:t>We believe that the breadth of experience and accomplishments of our management team, board of directors and scientific advisory board, combined with our broad network of established relationships with leaders in the industry and medical community, provide us with fresh insights into drug development and commercialization, and have allowed us to bring together top researchers to build interdisciplinary research and development teams. We are led by Marc de Garidel, our Chief Executive Officer, who has more than 40 years of experience in the pharmaceutical and biotechnology sector and successfully led the sales of CinCor Pharma to AstraZeneca in 2023 and Corvidia Therapeutics to Novo Nordisk in 2020.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primary goal is to develop and commercialize obefazimod for the treatment of inflammatory diseases, starting with moderately to severely active UC. We have already generated compelling data in moderately to severely active UC from our Phase 2a and 2b clinical trials, which we believe provides us with potential readthrough into a broader set of inflammatory diseases. We focus on indications with high unmet needs with substantial commercial potential. To achieve our goal, we are pursuing the following key elements of our strategy:</w:t>
      </w:r>
    </w:p>
    <w:p>
      <w:pPr>
        <w:spacing w:after="0" w:line="73"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Advance obefazimod through pivotal clinical trials and establish obefazimod as a potential first-line advanced therapy for IBD.</w:t>
      </w:r>
    </w:p>
    <w:p>
      <w:pPr>
        <w:spacing w:after="0" w:line="144" w:lineRule="exact"/>
        <w:rPr>
          <w:rFonts w:ascii="Arial" w:cs="Arial" w:eastAsia="Arial" w:hAnsi="Arial"/>
          <w:sz w:val="16"/>
          <w:szCs w:val="16"/>
          <w:color w:val="auto"/>
        </w:rPr>
      </w:pPr>
    </w:p>
    <w:p>
      <w:pPr>
        <w:ind w:left="1100"/>
        <w:spacing w:after="0" w:line="273" w:lineRule="auto"/>
        <w:rPr>
          <w:rFonts w:ascii="Arial" w:cs="Arial" w:eastAsia="Arial" w:hAnsi="Arial"/>
          <w:sz w:val="16"/>
          <w:szCs w:val="16"/>
          <w:color w:val="auto"/>
        </w:rPr>
      </w:pPr>
      <w:r>
        <w:rPr>
          <w:rFonts w:ascii="Arial" w:cs="Arial" w:eastAsia="Arial" w:hAnsi="Arial"/>
          <w:sz w:val="17"/>
          <w:szCs w:val="17"/>
          <w:color w:val="auto"/>
        </w:rPr>
        <w:t>We believe that the strength of the data we have generated in our Phase 2 clinical trials, specifically the potential to demonstrate rapid onset of action and durability of safety and efficacy results (as evidenced by a clinical remission rate of 53%, clinical response rate of 73% and no new adverse safety signals observed from our two-year Phase 2b open-label maintenance trial), if supported by the results of our Phase 3 clinical trials, uniquely positions obefazimod as a potential first-line advanced therapy choice for moderately to severely active UC, if approved. We believe our data, if supported by the results of our Phase 3 clinical trials, well-positions obefazimod as a potential first-line advanced therapy choice for moderately to severely active UC, if approved.</w:t>
      </w:r>
    </w:p>
    <w:p>
      <w:pPr>
        <w:spacing w:after="0" w:line="69" w:lineRule="exact"/>
        <w:rPr>
          <w:rFonts w:ascii="Arial" w:cs="Arial" w:eastAsia="Arial" w:hAnsi="Arial"/>
          <w:sz w:val="16"/>
          <w:szCs w:val="16"/>
          <w:color w:val="auto"/>
        </w:rPr>
      </w:pPr>
    </w:p>
    <w:p>
      <w:pPr>
        <w:ind w:left="1100" w:right="180"/>
        <w:spacing w:after="0" w:line="277" w:lineRule="auto"/>
        <w:rPr>
          <w:rFonts w:ascii="Arial" w:cs="Arial" w:eastAsia="Arial" w:hAnsi="Arial"/>
          <w:sz w:val="16"/>
          <w:szCs w:val="16"/>
          <w:color w:val="auto"/>
        </w:rPr>
      </w:pPr>
      <w:r>
        <w:rPr>
          <w:rFonts w:ascii="Arial" w:cs="Arial" w:eastAsia="Arial" w:hAnsi="Arial"/>
          <w:sz w:val="18"/>
          <w:szCs w:val="18"/>
          <w:color w:val="auto"/>
        </w:rPr>
        <w:t>Based on the positive clinical data generated in our UC trials, preclinical studies in dextran sulfate sodium (“DSS”) mouse model which provide support for pursuing further development in CD,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2" w:lineRule="auto"/>
        <w:rPr>
          <w:sz w:val="20"/>
          <w:szCs w:val="20"/>
          <w:color w:val="auto"/>
        </w:rPr>
      </w:pPr>
      <w:r>
        <w:rPr>
          <w:rFonts w:ascii="Arial" w:cs="Arial" w:eastAsia="Arial" w:hAnsi="Arial"/>
          <w:sz w:val="17"/>
          <w:szCs w:val="17"/>
          <w:color w:val="auto"/>
        </w:rPr>
        <w:t>underlying biological and mechanistic rationale, we plan to initiate a Phase 2a clinical trial in patients with CD in the first quarter of 2024 to potentially demonstrate outcomes consistent with those observed in our Phase 2 clinical trials for moderately to severely active UC. CD causes long-lasting inflammation and ulcers in the digestive tract, with fibrosis and stricturing, playing a key role in disease progression. It differs from UC in that it affects the entire thickness of the bowel wall and all parts of the digestive tract from mouth to anus. However, CD shares many of the underlying pathophysiological processes and clinical manifestations of UC, and, as a result, the current treatment paradigm of CD is similar to UC, as described further below. In addition, we believe that obefazimod’s clinical profile observed to-date lends itself to potential combinations with existing or new therapies, which we are exploring.</w:t>
      </w:r>
    </w:p>
    <w:p>
      <w:pPr>
        <w:spacing w:after="0" w:line="79"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Disrupt the IBD landscape in the near-term with our Phase 3 data beginning in 2025.</w:t>
      </w:r>
    </w:p>
    <w:p>
      <w:pPr>
        <w:spacing w:after="0" w:line="121" w:lineRule="exact"/>
        <w:rPr>
          <w:rFonts w:ascii="Arial" w:cs="Arial" w:eastAsia="Arial" w:hAnsi="Arial"/>
          <w:sz w:val="18"/>
          <w:szCs w:val="18"/>
          <w:color w:val="auto"/>
        </w:rPr>
      </w:pPr>
    </w:p>
    <w:p>
      <w:pPr>
        <w:ind w:left="1100"/>
        <w:spacing w:after="0" w:line="291" w:lineRule="auto"/>
        <w:rPr>
          <w:rFonts w:ascii="Arial" w:cs="Arial" w:eastAsia="Arial" w:hAnsi="Arial"/>
          <w:sz w:val="18"/>
          <w:szCs w:val="18"/>
          <w:color w:val="auto"/>
        </w:rPr>
      </w:pPr>
      <w:r>
        <w:rPr>
          <w:rFonts w:ascii="Arial" w:cs="Arial" w:eastAsia="Arial" w:hAnsi="Arial"/>
          <w:sz w:val="16"/>
          <w:szCs w:val="16"/>
          <w:color w:val="auto"/>
        </w:rPr>
        <w:t>Currently available therapies have limited efficacy and durability that wanes over time, have extensive pre-initiation requirements, carry significant safety and tolerability challenges (such as black box safety warnings), and most of them are injectable biologics.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 We believe obefazimod’s novel mechanism of action that modulates multiple inflammatory pathways simultaneously offers a potentially differentiated oral treatment option that may lead to more durability of efficacy results as we observed in our Phase 2 clinical trials.</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Leverage library of miR-124 enhancers to expand our pipeline.</w:t>
      </w:r>
    </w:p>
    <w:p>
      <w:pPr>
        <w:spacing w:after="0" w:line="121" w:lineRule="exact"/>
        <w:rPr>
          <w:rFonts w:ascii="Arial" w:cs="Arial" w:eastAsia="Arial" w:hAnsi="Arial"/>
          <w:sz w:val="18"/>
          <w:szCs w:val="18"/>
          <w:color w:val="auto"/>
        </w:rPr>
      </w:pPr>
    </w:p>
    <w:p>
      <w:pPr>
        <w:ind w:left="1100" w:right="100"/>
        <w:spacing w:after="0" w:line="270" w:lineRule="auto"/>
        <w:rPr>
          <w:rFonts w:ascii="Arial" w:cs="Arial" w:eastAsia="Arial" w:hAnsi="Arial"/>
          <w:sz w:val="18"/>
          <w:szCs w:val="18"/>
          <w:color w:val="auto"/>
        </w:rPr>
      </w:pPr>
      <w:r>
        <w:rPr>
          <w:rFonts w:ascii="Arial" w:cs="Arial" w:eastAsia="Arial" w:hAnsi="Arial"/>
          <w:sz w:val="17"/>
          <w:szCs w:val="17"/>
          <w:color w:val="auto"/>
        </w:rPr>
        <w:t>We are currently prioritizing development of IBD treatments including for moderately to severely active UC and CD, but are evaluating other additional indications that have similar immunologic characteristics. Based on the mechanistic concept of obefazimod, we have launched a research and development program to generate new potential drug candidates to strengthen our intellectual property portfolio on the miR-124 platform and to identify additional drug candidates from our proprietary small molecule library that includes additional miR-124 enhancers. Our strategy is to conduct proof-of-concept studies with obefazimod to show that enhanced expression of miR-124 demonstrates disease-modifying effects in other inflammatory conditions where there is unmet medical need, similar to our Phase 2a clinical trial in patients with rheumatoid arthritis (“RA”), where we saw encouraging proof-of-concept data supporting obefazimod’s potential role in addressing inflammatory conditions beyond IBD, to fully explore its potential. To further our strategy, our first follow-on drug candidate is expected to be selected and enter preclinical development in 2024.</w:t>
      </w:r>
    </w:p>
    <w:p>
      <w:pPr>
        <w:spacing w:after="0" w:line="82"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Opportunistically evaluate strategic partnerships to maximize the value of obefazimod and our therapeutic pipeline.</w:t>
      </w:r>
    </w:p>
    <w:p>
      <w:pPr>
        <w:spacing w:after="0" w:line="121" w:lineRule="exact"/>
        <w:rPr>
          <w:rFonts w:ascii="Arial" w:cs="Arial" w:eastAsia="Arial" w:hAnsi="Arial"/>
          <w:sz w:val="18"/>
          <w:szCs w:val="18"/>
          <w:color w:val="auto"/>
        </w:rPr>
      </w:pPr>
    </w:p>
    <w:p>
      <w:pPr>
        <w:ind w:left="1100" w:right="140"/>
        <w:spacing w:after="0" w:line="257" w:lineRule="auto"/>
        <w:rPr>
          <w:rFonts w:ascii="Arial" w:cs="Arial" w:eastAsia="Arial" w:hAnsi="Arial"/>
          <w:sz w:val="18"/>
          <w:szCs w:val="18"/>
          <w:color w:val="auto"/>
        </w:rPr>
      </w:pPr>
      <w:r>
        <w:rPr>
          <w:rFonts w:ascii="Arial" w:cs="Arial" w:eastAsia="Arial" w:hAnsi="Arial"/>
          <w:sz w:val="18"/>
          <w:szCs w:val="18"/>
          <w:color w:val="auto"/>
        </w:rPr>
        <w:t>We have discovered and are developing obefazimod as an innovative medicinal product and we currently hold its worldwide rights. We intend to retain worldwide development and commercialization rights for obefazimod. For certain geographies, we may opportunistically enter into strategic partnerships to accelerate development activities in order to realize the commercial potential of obefazimod as well as other assets in our pipeline. In connection with any potential strategic partnership, we plan to pursue and receive upfront funding, milestone payments and future royalties for these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team is comprised of industry leaders in the fields of biology, data analytics and drug development, as well as scientific experts in chronic inflammatory diseases including IBD, with 34 full-time employees as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June 30, 2023. Collectively, our team has decades of experience and a proven track record of advancing compounds into and through clinical development and commercialization.</w:t>
      </w:r>
    </w:p>
    <w:p>
      <w:pPr>
        <w:spacing w:after="0" w:line="76" w:lineRule="exact"/>
        <w:rPr>
          <w:sz w:val="20"/>
          <w:szCs w:val="20"/>
          <w:color w:val="auto"/>
        </w:rPr>
      </w:pPr>
    </w:p>
    <w:p>
      <w:pPr>
        <w:ind w:left="108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Marc de Garidel, our Chief Executive Officer, has more than 40 years of experience in the pharmaceutical and biotechnology sector, including 12 years of experience as Chief Executive Officer of pharmaceutical and biotechnology companies. Between July 2021 and April 2023, he served as Chief Executive Officer of CinCor Pharma and led its successful sale for up to $1.8 billion, subject to the achievement of certain milestones, to AstraZeneca in February 2023. From April 2018 until August 2020, he was Chief Executive Officer of Corvidia Therapeutics and led its sale to Novo Nordisk for $2.1 billion in total consideration.</w:t>
      </w:r>
    </w:p>
    <w:p>
      <w:pPr>
        <w:spacing w:after="0" w:line="93" w:lineRule="exact"/>
        <w:rPr>
          <w:rFonts w:ascii="Arial" w:cs="Arial" w:eastAsia="Arial" w:hAnsi="Arial"/>
          <w:sz w:val="18"/>
          <w:szCs w:val="18"/>
          <w:color w:val="auto"/>
        </w:rPr>
      </w:pPr>
    </w:p>
    <w:p>
      <w:pPr>
        <w:jc w:val="both"/>
        <w:ind w:left="1080" w:right="180" w:hanging="424"/>
        <w:spacing w:after="0" w:line="31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Didier Blondel, our Chief Financial Officer and Board Secretary, was previously Chief Financial Officer at Sanofi Pasteur MSD, a Lyon-based joint venture between Sanofi and Merck. Over the past 20 years, he has held a wide variety of senior finance positions at Sanofi in both Commercial Operations and Research and Development, including as Global Research and Development Chief Financial Officer.</w:t>
      </w:r>
    </w:p>
    <w:p>
      <w:pPr>
        <w:spacing w:after="0" w:line="54" w:lineRule="exact"/>
        <w:rPr>
          <w:rFonts w:ascii="Arial" w:cs="Arial" w:eastAsia="Arial" w:hAnsi="Arial"/>
          <w:sz w:val="16"/>
          <w:szCs w:val="16"/>
          <w:color w:val="auto"/>
        </w:rPr>
      </w:pPr>
    </w:p>
    <w:p>
      <w:pPr>
        <w:ind w:left="1080" w:right="60" w:hanging="424"/>
        <w:spacing w:after="0" w:line="29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Sheldon Sloan, MD, M Bioethics, our Chief Medical Officer, has over 30 years of experience in academia and the biopharmaceutical industry, with an extensive track record in the field of gastroenterology and IBD. Prior to joining us, Dr. Sloan worked for Arena Pharmaceuticals and, after its acquisition, for Pfizer, where he was Program Lead for Etrasimod. Before joining Arena Pharmaceuticals, he held different leadership positions at Johnson and Johnson in Medical Affairs, Research and Development, and Science Policy, including Global Medical Affairs Leader for IBD, leading the global launch strategy and execution for CD and UC for Stelara.</w:t>
      </w:r>
    </w:p>
    <w:p>
      <w:pPr>
        <w:spacing w:after="0" w:line="66" w:lineRule="exact"/>
        <w:rPr>
          <w:rFonts w:ascii="Arial" w:cs="Arial" w:eastAsia="Arial" w:hAnsi="Arial"/>
          <w:sz w:val="16"/>
          <w:szCs w:val="16"/>
          <w:color w:val="auto"/>
        </w:rPr>
      </w:pPr>
    </w:p>
    <w:p>
      <w:pPr>
        <w:ind w:left="1080" w:right="4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Michael Ferguson, MBA, our Chief Commercial Officer, has over 22 years of experience in the biopharmaceutical industry, with an extensive track record in the field of gastroenterology and IBD. He has spent the last 16 years of his career in large pharmaceutical and biotech companies, including 13 years in leading commercial positions at Shire/Takeda, followed by Arena Pharmaceuticals, where he served as Vice President Global Commercial Marketing and Planning and specifically as Global Commercial Lead for Etrasimod across all GI Indications.</w:t>
      </w:r>
    </w:p>
    <w:p>
      <w:pPr>
        <w:spacing w:after="0" w:line="93"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Pierre Courteille, Pharmacist, MBA, our Chief Business Officer, has more than 25 years of experience in marketing, sales and business development within the pharmaceutical industry. He has extensive commercial launch and marketing experience from prior roles as Senior Vice President of Sales and Marketing for Guerbet and Chief Executive Officer of MEDEX, a medical device company owned by Guerbet, and Marketing Manager at Sanofi Pasteur Japan’s joint-venture with Daiichi Sankyo.</w:t>
      </w:r>
    </w:p>
    <w:p>
      <w:pPr>
        <w:spacing w:after="0" w:line="76" w:lineRule="exact"/>
        <w:rPr>
          <w:rFonts w:ascii="Arial" w:cs="Arial" w:eastAsia="Arial" w:hAnsi="Arial"/>
          <w:sz w:val="17"/>
          <w:szCs w:val="17"/>
          <w:color w:val="auto"/>
        </w:rPr>
      </w:pPr>
    </w:p>
    <w:p>
      <w:pPr>
        <w:ind w:left="1080" w:right="4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Didier Scherrer, Ph.D., our Chief Scientific Officer, has extensive experience in the development of a portfolio of therapeutics in oncology, viral diseases and autoimmune / inflammatory diseases. Prior to joining our company in March 2009, he performed a combined role of Chief Executive Officer and Scientific Director at Splicos. He also has experience from prior roles as Associate Director (Capability Pathways—Discovery Enabling Capabilities and Sciences) of the Research Department of AstraZeneca and as Head of Research at LFB Biotechnologies.</w:t>
      </w:r>
    </w:p>
    <w:p>
      <w:pPr>
        <w:spacing w:after="0" w:line="93"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Our management team also consists of other top industry veterans such as Paul Gineste, PharmD, our VP of Clinical Operations and formerly International Clinical Trials Manager at Boehringer Ingelheim; Jérôme Denis, Ph.D., our VP of Process Development &amp; Manufacturing and formerly Executive Head of Development &amp; Associate Director of Vaccine Development at Imaxio; and Mary Mantock, MSc, our VP of Regulatory Affairs and formerly Executive Director, RA, Global Development for immune-oncology at Astellas.</w:t>
      </w:r>
    </w:p>
    <w:p>
      <w:pPr>
        <w:spacing w:after="0" w:line="15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board of directors is led by our Chairman and Chief Executive Officer, Marc de Garidel. Additional board members include: Corinna zur Bonsen-Thomas, Co-founder and Chief Executive Officer of RetInSight and former General Counsel at Baxter International; Carol Brosgart, MD, Clinical Professor of Medicine,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Epidemiology and Biostatistics at the University of California, San Francisco; Kinam Hong MD, MBA, CFA, Partner at the Crossover Fund of Sofinnova; Troy Ignelzi, CFO of Karuna Therapeutics; June Lee, MD, Venture Partner at 5AM Ventures; Paolo Rampulla, representing Santé Holdings SRL; and Philippe Pouletty, MD, our founder and Managing Partner at Truffle Capital, representing Truffle Capital.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Our lead drug candidate, obefazimod, is in clinical development for the treatment of moderately to severely active 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the miR-124 platform.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chart below sets forth details relating to the current stages of development of our lead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103620" cy="1929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036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Decision subject to results of the Phase 3 monotherapy induction trials.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Lead Drug Candidate for the Treatment of Inflammatory Diseases: Obefazimod</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Obefazimod is an oral small molecule drug candidate in clinical development for the treatment of moderately to severely active UC. We believe that obefazimod is the only small molecule drug candidate in clinical development with a mechanism of action that was demonstrated to specifically enhance the expression of a single micro-RNA, miR-124, which plays a critical role in the regulation of the inflammatory response.</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our induction Phase 2b clinical trial, which included 252 patients, obefazimod met the primary endpoint of a statistically significant reduction in Modified Mayo Score, a measure of disease activity relative to placebo. We have observed an onset of symptom relief by day 8 of dosing, with meaningful reductions in rectal bleeding and stool frequency scores, consistent with the pharmacological effects observed in our preclinical studies, and high rates of sustained and newly achieved clinical remission in the subsequent open-label maintenance extension trial of up to two years of treatment, of which approximately 45% of patients were previously exposed to biologics or JAK inhibitors. In April 2023, we reported the results from the final analysis of our Phase 2b open-label maintenance trial, including 217 patients of which 164 patients (76%) completed the second year of once-daily oral treatment with 50 mg obefazimod. At the conclusion of the second year of treatment, 114 of the 217 patients enrolled (53%) achieved clinical remission and 158 patients (73%) achieved clinical response. Among the 98 bio-refractory patients, 66 patients (67%) had a clinical response, 38 patients (39%) were in clinical remission, 46 patients (47%) had endoscopic improvement and 20 patients (20%) had endoscopic remission at week 96. Among the 124 patients that achieved clinical response at the end of the 8-week induction period of the double-blind study, 82 patients (66%) achieved clinical remission at week 48, mimicking the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re-randomization of responders approach typically utilized in Phase 3 maintenance trials. Of the 124 patients in clinical response at week 8, 74 patients (60%) achieved clinical remission, 95 patients (77%) had clinical response, 79 patients (64%) achieved endoscopic improvement and 52 patients (42%) achieved endoscopic remission at week 96.</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 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 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Furthermore, obefazimod’s tolerability profile indicates potentially important clinical differentiation. As of November 30, 2022 (the last safety data cut-off date), 1,074 patients and volunteers had been treated with obefazimod, of which 209 patients were treated with 50 mg obefazimod for one year or more with no change in the observed tolerability profile underscored by 76% of patients that remained on therapy throughout the two-year open-label maintenance trial period. No new adverse safety signals were observed.</w:t>
      </w:r>
    </w:p>
    <w:p>
      <w:pPr>
        <w:spacing w:after="0" w:line="187"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We initiated our pivotal Phase 3 clinical trials of obefazimod for the treatment of moderately to severely active UC in consultation with international regulators, including the U.S. Food and Drug Administration (the “FDA”), the EMA, the Pharmaceuticals and Medical Devices Agency (“PMDA”) and the China Center for Drug Evaluation (“CDE”). These pivotal Phase 3 clinical trials consist of two induction trials (ABTECT-1 and ABTECT-2) and one ABTECT maintenance trial in doses of 25 mg and 50 mg across 36 countries in North America, Latin America, Europe and Asia Pacific, involving 1,200 moderately to severely active UC patients in over 600 sites. Each of the trials will be randomized, double-blind and placebo-controlled, using independent and central review of video-taped endoscopies with the primary endpoint of clinical remission according to the Modified Mayo Score assessed at week 8 (induction) and at week 44 (maintenance), as recommended by the FDA. Enrollment of the first patient under this program occurred on October 11, 2022. Top-line data from the ABTECT-1 and ABTECT-2 induction trials is expected to be announced in the first quarter of 2025, and top-line data from the ABTECT maintenance trial is expected to be announced in the first quarter of 2026.</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Currently, the obefazimod safety database is supported by more than 1,000 subjects treated with obefazimod across different indications, including UC patients, some of whom are in their fifth year of continuous daily dosing.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Obefazimod’s Mechanism of Action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Once expressed, micro-RNA interact with specific mRNA targets and decrease their translation into proteins to regulate specific pathways. By binding to the cap binding complex, a complex playing a role in cellular RNA biogenesis, obefazimod enhances the selective splicing of a single long non-coding RNA to generate the anti-inflammatory micro-RNA, miR-124, in immune cells. Importantly, obefazimod does not impact the splicing of cellular messenger RNA.</w:t>
      </w:r>
    </w:p>
    <w:p>
      <w:pPr>
        <w:spacing w:after="0" w:line="166"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By targeting key inflammatory mRNA players such as STAT3 and MCP1, miR-124, a known anti-inflammatory micro-RNA, regulates inflammation by decreasing macrophages and downregulating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translation of pro-inflammatory cytokines and chemokines, such as TNF-a, IL-6, MCP-1 and IL-17, as well as Th17+ cells, to control overactive immune stimulation seen in chronic inflammatory diseases. This downregulation thereby regulates the inflammatory process and suggests broad potential as a novel anti-inflammatory therapeutic agent.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charts provide schematics of obefazimod’s mechanism of action at both a protein-level (direct downregulation) and cellular-level (indirect downregulation):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203190" cy="46545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0319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 DSS mouse model, we observed that administration of DSS enhances the expression of pro-inflammatory cytokines in colonic tissue and Th17 cells in lymph nodes and that the treatment of these mice with obefazimod reduced the level of pro-inflammatory cytokines and Th17 cells back to their normal level. Interestingly, when we treated healthy mice with obefazimod, we did not observe any effect on Th17 cells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lymph node and on cytokine levels in the colonic tissue, which we believe illustrates that regulation via enhanced expression of miR-124 has an effect only when these pathways are dysregulated,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134620</wp:posOffset>
            </wp:positionV>
            <wp:extent cx="5168900" cy="2219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6890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Laboratory analysis of the Phase 2b clinical trial at week 8 showed a highly statistically significant enhancement of expression of miR-124 in rectal tissue in patients treated with obefazimod, compared to baseline. The median increases were 13-fold for the 25 mg group, 25-fold for the 50 mg group and 25-fold for the 100 mg group, while no enhanced expression was observed in the placebo group (1.02-fold increase), indicative of the positive pharmacological effect of obefazimod. Downstream effects of enhancement of expression of miR-124 have been demonstrated by the reduction in IL-17 and Il-23 levels in the blood and rectal biopsies of patients treated with obefazimod. The following charts depict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143500" cy="20059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151755" cy="20142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5175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Obefazimod in UC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UC Overview</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UC, one of the most common forms of IBD, is a chronic inflammatory disease of the large intestine or colon, that affects the lining of the colon and causes small sores or ulcers. UC is the result of several factors that are not yet well understood. Abnormal inflammatory response, genetics, microbiome and environmental factors all contribute to UC. UC can occur at any age, though most people are diagnosed aged 20 to 30, and men and women are equally likely to be affected. UC can affect people of any racial or ethnic group. UC symptoms can vary, depending on the severity of inflammation and where it occurs. Signs and symptoms may include diarrhea, rectal bleeding, abdominal pain and cramping, weight loss, fatigue and fever, substantially impacting the quality of life of patients with this debilitating disease. There were an estimated 4.1 million prevalent cases of UC globally in 2022.</w:t>
      </w:r>
    </w:p>
    <w:p>
      <w:pPr>
        <w:spacing w:after="0" w:line="19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During the 12 months ended May 2023, we estimate that there were approximately 776,000 patients treated for UC in the United States. Of those patients, approximately 594,000 patients received conventional therapies; approximately 285,000 patients were maintained on conventional therapy, approximately 193,000 patients received steroids only and approximately 116,000 patients could not be controlled with conventional therapies. The remaining 182,000 patients received some form of advanced therapies, which we believe represented approximately $5.3 billion of sales in the United States; approximately 43,000 patients were new to advanced therapy, approximately 51,000 patients received suboptimal results or recently switched from other forms of therapy and approximately 88,000 patients were maintained on advanced therapy.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Therapies and Their Limitations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current UC treatment approach is influenced by multiple factors, including disease severity, previous response to treatment, side effects and co-morbidities. Both existing conventional therapies as well as advanced therapies, including approved products and drug candidates in development, face significant room for improvement in efficacy, safety and tolerability, and convenience from dosing and route of administration standpoints as discussed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40"/>
          </w:cols>
          <w:pgMar w:left="320" w:top="459" w:right="5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Conventional Therapies for UC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Aminosalicylates (5-ASAs) are used as a first-line therapy in mildly to moderately active UC. Corticosteroids are used primarily during induction therapy and are effective for reducing symptoms, but do not address mucosal healing which limit their ability to modify and improve the underlying cause of disease. In addition, there are safety considerations with extended corticosteroid use, including lowered quality of life, bone loss, weight gain and cardiovascular complications. As a result, corticosteroids are used primarily as a bridge to manage symptoms until immunomodulators or biologic agents become effective and enable mucosal healing. Oral immunosuppressants (e.g. azathioprine, 6-mercatopurine and methotrexate) have not been effective as induction agents and are generally used for steroid-sparing or as an adjunctive therapy for reducing immunogenicity against biologic agents. Oral immunosuppressants are also associated with known toxicities such as drops in white blood cell counts and increased risk for infection.</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Given the above insufficiencies of these conventional therapies, patients suffering from mild UC may evolve towards moderate and severe forms requiring the use of advanced therapies.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Advanced Therapies for UC</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Advanced therapies for UC include biological agents as well as emerging oral molecules. Biological agents such as TNF-a inhibitors (including infliximab, adalimumab and golimumab), IL-12/23 inhibitors (such as ustekinumab) or IL-23 inhibitors, which specifically block certain inflammatory factors involved in UC. Biological agents also include gut-specific anti-integrin antibodies (such as vedolizumab and natalizumab). New oral molecules acting on certain pathways of the inflammation include JAK inhibitors (including tofacitinib and upadacitinib) – or, on the trafficking of inflammatory cells such as S1P receptor agonists (e.g., ozanimod).</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However, these therapies often only have moderate efficacy that may wane over time, as patients stop responding or do not respond at all to these treatments and thus require new therapeutic management options. For patients who do not or no longer respond to treatment, or experience complications, surgical treatment may be necessary. Approximately 10% to 30% of UC patients require surgery over their lifetime.</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while TNF-a inhibitors and JAK inhibitors and newer biological agents, including anti-integrin antibodies, IL-12/23 inhibitors and IL-23 inhibitors, have generally improved the care of moderate to severely active IBD (JAK inhibitors specifically in UC), these are all anti-inflammatory agents with safety and tolerability concerns. These include increased risks for cancers, infections and blood clots due to their systemic impact and resulting effects on the immune system outside of the GI tract. In addition, prolonged treatment with biological therapies can lead to anti-drug antibody development by patients’ immune systems which may lead to gradual waning of therapeutic efficacy and patients needing to switch to other biological agents. Furthermore, biological agents require injections or intravenous infusions, resulting in patient inconvenience and burden, which often negatively impacts patient compliance. Injections can also lead to injection-related events such as sciatica, neuralgia, neuropathic pain and peripheral neuropathy.</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September 2021, the FDA published strict warnings about increased risk of serious heart-related events, cancer, blood clots and death for JAK inhibitors that treat certain chronic inflammatory conditions (including UC). In January 2023, the EMA stated recommendations to minimize the risk of serious side effects with JAK inhibitors used to treat several chronic inflammatory disorders, noting that these side effects include cardiovascular conditions, blood clots, cancer and serious infections which were adopted by the European Commission in March 2023.</w:t>
      </w:r>
    </w:p>
    <w:p>
      <w:pPr>
        <w:spacing w:after="0" w:line="17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Recently, there have been efforts to develop drug candidates targeting novel mechanisms, such as S1P receptor agonists and TL1A inhibitors. S1P agonists, while offering convenient oral dosing, have not achieved meaningful commercial adoption. Ozanimod and other S1P agonists work by blocking capacity of lymphocytes to egress from lymph nodes, thereby reducing the number of lymphocytes in peripheral blood, which can lead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increased susceptibility to infections. Furthermore, Ozanimod, in its UC Study 1 which assessed efficacy during the induction period, achieved 18% clinical remission in all patients at week 10, with only 10% of patients with prior exposure to TNF-a inhibitors showing clinical remission. TL1A inhibitors have garnered interest from those seeking newer targets and agents with differentiated clinical profile. While Merck-Prometheus and Pfizer-Roivant have generated promising early Phase 2 data in both biologics-experienced and biologics-naïve patients, neither have initiated Phase 3 clinical trials and do not have long-term safety and efficacy data beyond 56 weeks.</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summary, we believe that there is significant unmet medical need in the UC treatment paradigm due to imperfect existing therapies with unfavorable clinical characteristics and limited efficacy that frequently wanes over time.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 approved.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 UC</w:t>
      </w:r>
    </w:p>
    <w:p>
      <w:pPr>
        <w:spacing w:after="0" w:line="117"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The estimated market opportunity for UC was approximately $7.4 billion in worldwide sales in 2022 and is expected to reach $10.2 billion in worldwide sales in 2028. In 2022, there were 4.1 million prevalent cases of UC worldwide. In the United States, EU4, the United Kingdom and Japan, there were 2.0 million prevalent cases of UC, of which 1.3 million of these cases in G7 countries were treated with 5-ASAs or advanced therapies. In addition, approximately 76% of patients suffering from UC in the United States were covered by commercial insurance, with approximately 20% and 3% covered by Medicare and Medicaid, respectively. The UC market has significant growth potential driven by increasing incidence of the disease as well as the development of innovative oral therapeutics.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 Results of Obefazimod in Moderately to Severely Active UC</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November 30, 2022 (the last safety data cut-off date), 1,074 patients and volunteers had been treated with obefazimod, of which 209 patients were treated with 50 mg obefazimod for one year or more with no change in the observed tolerability profile. At present, no increased rate of opportunistic infections or malignancies compared with placebo have been observed across all clinical trials. We are conducting Phase 3 clinical trials in moderately to severely active UC in the United States, Europe, Asia Pacific and Latin America.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Phase 2a Clinical Trial with Obefazimod for the Treatment of Moderately to Severely Active UC</w:t>
      </w:r>
    </w:p>
    <w:p>
      <w:pPr>
        <w:spacing w:after="0" w:line="117"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induction Phase 2a clinical trial was a randomized trial of an 8-week placebo-controlled, double-blind induction phase followed by an open-label long term extension trial. It was completed in September 2018. This proof-of-concept trial enrolled 32 adult patients who had been diagnosed with moderately to severely active UC for at least 12 weeks and who failed or were intolerant to conventional treatments (50%) or biologics (50%). Patients who completed the induction phase were eligible to continue in the open-label extension trial.</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induction phase, patients were randomized two-to-one to a once-daily orally-administered 50 mg dose of obefazimod or placebo for eight weeks. In the long-term extension, all patients received a once-daily orally-administered 50 mg dose of obefazimod.</w:t>
      </w:r>
    </w:p>
    <w:p>
      <w:pPr>
        <w:spacing w:after="0" w:line="170"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This double-blind, placebo-controlled trial follows a standard study design in this indication for which a dose response as well as placebo effect can be frequently observed. The 50 mg daily dose was selected on the basis of the safety data accumulated for this dose.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trial design of our Phase 2a clinical trial for obefazimod in patients with moderately to severely active UC is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2228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493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Primary Endpoints of Induction Phase 2a Clinical Trial with Obefazimod for the Treatment of UC</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primary endpoint in the induction Phase 2a clinical trial was safety, assessed as the rate of TEAEs. The primary endpoint in the induction phase, evaluation of safety and tolerability of obefazimod, was met. The most frequently reported adverse events reported in the 50 mg group were GI disorders and headache. GI disorders were experienced by 35% of subjects in the obefazimod group and 22% of subjects in the placebo group. These included abdominal pain, abdominal pain upper, anal fissure, anorectal discomfort, dyspepsia and nausea for the obefazimod group and abdominal pain and diarrhea for the placebo group. Headache was experienced by 17% of subjects in the obefazimod group and 0% in the placebo group. Headaches occurred early and were transient (lasting only a few days), mainly mild or moderate (grade 1 or 2) and manageable with or without over-the-counter medications. No serious adverse events related to treatment were observed.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an overall summary of TEAEs by treatment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954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AE = adverse event; TEAE = treatment-emergent adverse event</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0"/>
          </w:cols>
          <w:pgMar w:left="320" w:top="459" w:right="5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Secondary Endpoints of Induction Phase 2a Clinical Trial with Obefazimod for the Treatment of UC</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depicts secondary efficacy endpoints of our Phase 2a clinical trial with obefazimod in moderately to severely active UC at week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194935" cy="13627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9493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right="8420" w:hanging="4"/>
        <w:spacing w:after="0" w:line="290" w:lineRule="auto"/>
        <w:tabs>
          <w:tab w:leader="none" w:pos="336" w:val="left"/>
        </w:tabs>
        <w:numPr>
          <w:ilvl w:val="0"/>
          <w:numId w:val="97"/>
        </w:numPr>
        <w:rPr>
          <w:rFonts w:ascii="Arial" w:cs="Arial" w:eastAsia="Arial" w:hAnsi="Arial"/>
          <w:sz w:val="13"/>
          <w:szCs w:val="13"/>
          <w:color w:val="auto"/>
        </w:rPr>
      </w:pPr>
      <w:r>
        <w:rPr>
          <w:rFonts w:ascii="Arial" w:cs="Arial" w:eastAsia="Arial" w:hAnsi="Arial"/>
          <w:sz w:val="13"/>
          <w:szCs w:val="13"/>
          <w:color w:val="auto"/>
        </w:rPr>
        <w:t>POC Study was not powered for efficacy ITT = Intent-to-treat; PP = Per Protocol</w:t>
      </w:r>
    </w:p>
    <w:p>
      <w:pPr>
        <w:spacing w:after="0" w:line="15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secondary endpoints in the induction Phase 2a clinical trial included the proportion of patients achieving clinical remission at week 8 as compared to placebo, change from baseline to week 8 in total Modified Mayo Score (which is based on stool frequency, rectal bleeding, physician global assessment and endoscopic subscore), rate of endoscopic improvement, clinical response rate, as well as miR-124 expression in the rectal tissue of the patients.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Overview of Additional Follow-Up Data from Long Term Extension Portion of Phase 2a Clinical Trial with Obefazimod for the Treatment of Moderately to Severely Active UC</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the long-term extension, the primary objective was long term safety of obefazimod. Additional efficacy endpoints included clinical and endoscopic rates of response and remission. Overall, 32 patients were enrolled in the induction phase, 23 patients were randomized to obefazimod, and nine patients were randomized to placebo.</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Of the 29 patients who completed the induction phase (20 patients for obefazimod and nine patients for placebo), 22 patients continued their treatment into the long-term extension.</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October 2019, we announced the 12-month data from this Phase 2a proof-of-concept trial. This open-label maintenance trial was conducted in 22 patients, of which 19 completed the first year of treatment. At 12 months, an endoscopy was performed in 16 of the 19 patients to evaluate the rate of clinical remission, and 12 of the 16 evaluable patients (75%) were observed to achieve clinical remission. Obefazimod was also observed to maintain enhanced expression of miR-124 throughout the 12 months of the trial. At month 12, mean change in Mayo Score was observed at -2.6 points compared to the maintenance baseline. Median fecal calprotectin decreased from 153.1 mg/g (baseline) to 27.9 mg/g and 31.6 mg/g at week 52 and month 24, respectively.</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depicts secondary efficacy endpoints of our Phase 2a clinical trial with obefazimod in moderately to severely active UC at 24 and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134620</wp:posOffset>
            </wp:positionV>
            <wp:extent cx="5314950" cy="1045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1495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Phase 2b Clinical Trial with Obefazimod for the Treatment of UC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Induction Phase 2b Clinical Trial with Obefazimod for the Treatment of UC</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induction Phase 2b clinical trial for the treatment of moderately to severely active UC was conducted in 252 patients enrolled at 130 trial sites across 15 European countries, Canada and the United States. It was completed in April 2021. The trial was a randomized, double-blind and placebo-controlled 16-week induction trial with a primary efficacy endpoint at week 8 involving four treatment groups (receiving an oral once-daily 25 mg, 50 mg or 100 mg dose of obefazimod or placebo). Endoscopies were read centrally and blinded, by independent reviewers. Electronic patient diaries were used to enhance the reliability of the collection of stool frequency, rectal bleedings, and other patient reported outcomes-all efficacy endpoints were set according to FDA guidance.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design of our Phase 2b clinical trial with obefazimod in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12080" cy="22631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Between August 13, 2019 and April 16, 2021, 252 patients were randomly allocated to obefazimod 100 mg (n=64), obefazimod 50 mg (n=63), obefazimod 25 mg (n=61) or placebo (n=64).</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Baseline characteristics were well-balanced among the treatment groups, indicating a moderately to severely active UC population. At screening, 49% of patients had an inadequate response, loss of response, or intolerance to TNF-a inhibitors, vedolizumab, other biologics and/or JAK inhibitors treatments, while the other patients were refractory to conventional treatments only. Enrolled patients suffered from longstanding UC with an overall mean disease duration of 8.05 years and 71% of the patients had a severe disease profile (baseline Modified Mayo Score of 7 to 9 points).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baseline characteristics of our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15690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6344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hanging="224"/>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Percentages based on number of patients with previous exposure to biologics/JAK inhibitors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Primary Endpoints of Induction Phase 2b Clinical Trial with Obefazimod for the Treatment of UC</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u w:val="single" w:color="auto"/>
          <w:color w:val="auto"/>
        </w:rPr>
        <w:t>Modified Mayo Score</w:t>
      </w:r>
      <w:r>
        <w:rPr>
          <w:rFonts w:ascii="Arial" w:cs="Arial" w:eastAsia="Arial" w:hAnsi="Arial"/>
          <w:sz w:val="17"/>
          <w:szCs w:val="17"/>
          <w:color w:val="auto"/>
        </w:rPr>
        <w:t>: In the full analysis set (“FAS”), corresponding to an ITT analysis, the primary endpoint was met at week 8 (statistically significant reduction of Modified Mayo Score) with -2.9 (95% CI -3.4 to -2.5) for the obefazimod 100 mg group, -3.2 (-3.7 to -2.7) for the obefazimod 50 mg group, -3.1 (-3.6 to -2.6) for the obefazimod 25 mg group, and -1.9 (-2.4 to -1.5) for placebo group. The magnitude of the difference in Modified Mayo Score from baseline was significantly greater in all three obefazimod groups compared with placebo (p=0.0039 for obefazimod 100 mg vs placebo, p=0.0003 for obefazimod 50 mg vs placebo, and p=0.0010 for obefazimod 25 mg vs placebo).</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u w:val="single" w:color="auto"/>
          <w:color w:val="auto"/>
        </w:rPr>
        <w:t>Clinical Response, Clinical Remission and Endoscopic Improvement</w:t>
      </w:r>
      <w:r>
        <w:rPr>
          <w:rFonts w:ascii="Arial" w:cs="Arial" w:eastAsia="Arial" w:hAnsi="Arial"/>
          <w:sz w:val="18"/>
          <w:szCs w:val="18"/>
          <w:color w:val="auto"/>
        </w:rPr>
        <w:t>: Furthermore, rates of clinical response and clinical remission at week 8 in the FAS were higher in the three obefazimod dosage groups than with placebo. The subgroup of patients who were refractory to one or more second line therapies showed results that were consistent with the overall analysis for clinical response and clinical remission at week 8. Rates of endoscopic improvement at week 8 were also higher in the obefazimod dosage groups than in the placebo group in the FAS. Change in fecal calprotectin from baseline in the FAS was greater in all obefazimod groups than with placebo.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depict the changes of the primary endpoint from baseline in Modified Mayo Score at week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177790" cy="28117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7779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hanging="324"/>
        <w:spacing w:after="0" w:line="230"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ANCOVA model for change from baseline MMS at week 8 which includes baseline MMS as a covariate and treatment, previous exposure to biological drugs or JAK inhibitors as fixed effects and a random error term.</w:t>
      </w:r>
    </w:p>
    <w:p>
      <w:pPr>
        <w:ind w:left="440" w:hanging="324"/>
        <w:spacing w:after="0" w:line="221"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p-values are based on nonparametric ANCOVA using ranked data.</w:t>
      </w:r>
    </w:p>
    <w:p>
      <w:pPr>
        <w:ind w:left="440" w:hanging="324"/>
        <w:spacing w:after="0" w:line="221"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MMS is the sum of assessment scores (0-3) of mucosal appearance on endoscopy, stool frequency, and rectal bleeding.</w:t>
      </w:r>
    </w:p>
    <w:p>
      <w:pPr>
        <w:ind w:left="440" w:hanging="324"/>
        <w:spacing w:after="0"/>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 = number of patients in the category with data available for baseline and week 8 visit.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depict the secondary efficacy endpoint results at week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69330" cy="1868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693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hanging="324"/>
        <w:spacing w:after="0"/>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Clinical remission (per Modified Mayo Score) is defined as stool frequency subscore (SFS) ≤1, rectal bleeding subscore (RBS) of 0 and endoscopic subscore ≤1.</w:t>
      </w:r>
    </w:p>
    <w:p>
      <w:pPr>
        <w:ind w:left="440" w:right="80" w:hanging="324"/>
        <w:spacing w:after="0" w:line="221" w:lineRule="auto"/>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Clinical response (per Adapted Mayo Score) is defined as a decrease from baseline in the Modified Mayo Score ≥2 points and ≥30 percent from baseline, plus a decrease in RBS ≥1 or an absolute RBS ≤1.</w:t>
      </w:r>
    </w:p>
    <w:p>
      <w:pPr>
        <w:ind w:left="440" w:hanging="324"/>
        <w:spacing w:after="0" w:line="221" w:lineRule="auto"/>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Endoscopic improvement is defined as endoscopic subscore ≤1 without friability.</w:t>
      </w:r>
    </w:p>
    <w:p>
      <w:pPr>
        <w:ind w:left="440" w:hanging="324"/>
        <w:spacing w:after="0" w:line="221" w:lineRule="auto"/>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440" w:hanging="324"/>
        <w:spacing w:after="0" w:line="221" w:lineRule="auto"/>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ind w:left="440" w:hanging="324"/>
        <w:spacing w:after="0"/>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Delta = arithmetic difference rounded to nearest full percentage.</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also conducted sub-group analyses of biologics / JAK-naïve and biologics / JAK-experienced patients, the results of which are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297180</wp:posOffset>
            </wp:positionV>
            <wp:extent cx="6069330" cy="2811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6933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hanging="324"/>
        <w:spacing w:after="0"/>
        <w:tabs>
          <w:tab w:leader="none" w:pos="4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Trial not powered for statistical significance for sub-group analysis.</w:t>
      </w:r>
    </w:p>
    <w:p>
      <w:pPr>
        <w:ind w:left="440" w:hanging="324"/>
        <w:spacing w:after="0" w:line="221"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 = Number of patients in the category with data available for baseline and week 8 visit.</w:t>
      </w:r>
    </w:p>
    <w:p>
      <w:pPr>
        <w:ind w:left="440" w:hanging="324"/>
        <w:spacing w:after="0"/>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MMS is the sum of assessment scores (0-3) of mucosal appearance on endoscopy, stool frequency, and rectal bleeding.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313690</wp:posOffset>
            </wp:positionV>
            <wp:extent cx="6069330" cy="2777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6933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hanging="324"/>
        <w:spacing w:after="0"/>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Trial not powered for statistical significance for sub-group analysis.</w:t>
      </w:r>
    </w:p>
    <w:p>
      <w:pPr>
        <w:ind w:left="44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Endoscopic improvement is defined as endoscopic subscore ≤1 without friability.</w:t>
      </w:r>
    </w:p>
    <w:p>
      <w:pPr>
        <w:ind w:left="44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44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ind w:left="440" w:hanging="324"/>
        <w:spacing w:after="0"/>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Delta = arithmetic difference rounded to nearest full percentage.</w:t>
      </w:r>
    </w:p>
    <w:p>
      <w:pPr>
        <w:spacing w:after="0" w:line="12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680"/>
          </w:cols>
          <w:pgMar w:left="320" w:top="459" w:right="8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Maintenance Phase 2b Clinical Trial with Obefazimod for the Treatment of UC</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Of the 222 patients who completed the 16-week Phase 2b induction trial, 217 patients (98%) enrolled in the subsequent open-label maintenance trial to evaluate the induction Phase 2b clinical trial long-term safety and efficacy profile of obefazimod for up to two years, irrespective of treatments or treatment outcome during the induction phase.</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At week 48, of those 217 patients who received a 50 mg once-daily oral dosing with obefazimod, 178 patients (82%) had clinical response, 119 patients (55%) were in clinical remission, 133 patients (61%) had endoscopic improvement and 72 patients (33%) had endoscopic remission. Moreover, 38 patients were in sustained clinical remission and 107 patients showed sustained clinical response. A total of 71 patients exhibited de novo clinical response and 81 patients exhibited de novo clinical remission. Among the 98 bio-refractory patients, 66 patients (67%) had a clinical response, 38 patients (39%) were in clinical remission, 46 patients (47%) had endoscopic improvement and 20 patients (20%) had endoscopic remission at week 96. These results demonstrate the long-term clinical response of obefazimod in patients who were refractory to conventional treatments, as well as patients who were previously exposed to treatment with biologics and/or JAK inhibitors.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At week 96, of the 49 patients who were in clinical remission at the end of the induction phase, 33 patients (67%) remained in clinical remission. Of the 168 patients who were not in clinical remission at the end of the induction phase, 81 patients (48%) exhibited de novo clinical remission. Furthermore, the clinical remission rate for patients who did not show at least a clinical response at the end of the 8-week induction phase was 43% (40 patients). Of the patients included in the maintenance trial, 164 patients (75%) completed two years of once-daily oral dosing with 50 mg obefazimod. Thirty patients dropped out during the first year of treatment. Six patients did not qualify for the second year due to non-response after the first year of treatment, and 17 patients dropped out during the second year. These patients were all considered as treatment failures in the intent-to-treat analysis.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clinical results of our long-term extension Phase 2b clinical trial at weeks 48 and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94730" cy="2074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9473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224"/>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Number of patients that met the respective endpoint.</w:t>
      </w:r>
    </w:p>
    <w:p>
      <w:pPr>
        <w:ind w:left="340" w:hanging="224"/>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Number of patients in the relative analysis set.</w:t>
      </w:r>
    </w:p>
    <w:p>
      <w:pPr>
        <w:spacing w:after="0" w:line="192" w:lineRule="exact"/>
        <w:rPr>
          <w:sz w:val="20"/>
          <w:szCs w:val="20"/>
          <w:color w:val="auto"/>
        </w:rPr>
      </w:pPr>
    </w:p>
    <w:p>
      <w:pPr>
        <w:jc w:val="both"/>
        <w:ind w:left="120" w:right="440"/>
        <w:spacing w:after="0" w:line="290" w:lineRule="auto"/>
        <w:rPr>
          <w:sz w:val="20"/>
          <w:szCs w:val="20"/>
          <w:color w:val="auto"/>
        </w:rPr>
      </w:pPr>
      <w:r>
        <w:rPr>
          <w:rFonts w:ascii="Arial" w:cs="Arial" w:eastAsia="Arial" w:hAnsi="Arial"/>
          <w:sz w:val="13"/>
          <w:szCs w:val="13"/>
          <w:color w:val="auto"/>
        </w:rPr>
        <w:t>Sustained clinical remission/response or endoscopic remission/improvement means a clinical remission or clinical response or endoscopic remission or endoscopic improvement in the subpopulation of patients with clinical remission or clinical response or endoscopic remission or endoscopic improvement at maintenance trial entry (i.e., at week 8 of induction trial).</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40"/>
        <w:spacing w:after="0" w:line="290" w:lineRule="auto"/>
        <w:rPr>
          <w:sz w:val="20"/>
          <w:szCs w:val="20"/>
          <w:color w:val="auto"/>
        </w:rPr>
      </w:pPr>
      <w:r>
        <w:rPr>
          <w:rFonts w:ascii="Arial" w:cs="Arial" w:eastAsia="Arial" w:hAnsi="Arial"/>
          <w:sz w:val="13"/>
          <w:szCs w:val="13"/>
          <w:color w:val="auto"/>
        </w:rPr>
        <w:t>De novo clinical remission/response or endoscopic remission/improvement means a clinical remission or clinical response or endoscopic remission or endoscopic improvement in the subpopulation of patients without clinical remission or clinical response or endoscopic remission or endoscopic improvement at maintenance trial entry (i.e. at week 8 of induction trial).</w:t>
      </w:r>
    </w:p>
    <w:p>
      <w:pPr>
        <w:spacing w:after="0" w:line="151" w:lineRule="exact"/>
        <w:rPr>
          <w:sz w:val="20"/>
          <w:szCs w:val="20"/>
          <w:color w:val="auto"/>
        </w:rPr>
      </w:pPr>
    </w:p>
    <w:p>
      <w:pPr>
        <w:ind w:left="220" w:hanging="104"/>
        <w:spacing w:after="0"/>
        <w:tabs>
          <w:tab w:leader="none" w:pos="2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For week 48, with respect to six subjects, endoscopic data were missing at week 8 of the induction trial and were not included in this analysis.</w:t>
      </w:r>
    </w:p>
    <w:p>
      <w:pPr>
        <w:ind w:left="120" w:right="160" w:hanging="4"/>
        <w:spacing w:after="0" w:line="237" w:lineRule="auto"/>
        <w:tabs>
          <w:tab w:leader="none" w:pos="22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For week 96, drop outs were considered as treatment failures in the intent-to-treat analysis (30 patients dropped out during the first year; six patients did not qualify for the second year of treatment due to non-response after the first year and 17 patients dropped out during the second year).</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Of all 217 patients who entered the Phase 2b open-label maintenance trial, regardless of their status at the end of the 8-week induction period, 119 patients (55%) achieved clinical remission at week 48 and 114 patients (53%) achieved clinical remission at week 96. Among the 124 patients who achieved clinical response at the end of the 8-week induction period of the double-blind study, 82 patients (66%) achieved clinical remission at week 48, mimicking the re-randomization of responders approach typically utilized in Phase 3 maintenance trials, and 74 patients (60%) achieved clinical remission at week 96. This comparison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069330" cy="2074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6933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hanging="224"/>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217/222 eligible patients enrolled into open label maintenance study.</w:t>
      </w:r>
    </w:p>
    <w:p>
      <w:pPr>
        <w:ind w:left="440" w:hanging="324"/>
        <w:spacing w:after="0" w:line="221"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Irrespective of patient outcome at the end of the 8-week induction phase.</w:t>
      </w:r>
    </w:p>
    <w:p>
      <w:pPr>
        <w:ind w:left="440" w:hanging="324"/>
        <w:spacing w:after="0" w:line="221"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440" w:hanging="324"/>
        <w:spacing w:after="0" w:line="221"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ind w:left="440" w:hanging="324"/>
        <w:spacing w:after="0" w:line="221"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124 patents achieved clinical response at end of 8-week induction phase.</w:t>
      </w:r>
    </w:p>
    <w:p>
      <w:pPr>
        <w:ind w:left="440" w:hanging="324"/>
        <w:spacing w:after="0"/>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From week 48 to week 96, 19 patients began experiencing symptoms of UC again (i.e., were not in clinical remission anymore), and 14 patients achieved clinical remission.</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below table depicts the types of adverse events observed from our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14605</wp:posOffset>
            </wp:positionV>
            <wp:extent cx="5143500" cy="16287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induction and the maintenance treatments of the Phase 2b clinical trial, the safety and tolerability profile observed was consistent with previous findings and no new adverse safety signals were observed. As of November 30, 2022 (the last safety data cut-off date), 1,074 patients and volunteers had been treated with obefazimod, of which 209 patients were treated with 50 mg obefazimod for one year or more with no change in the observed tolerability profile. At present, no increased rate of opportunistic infections or malignancies compared with placebo have been observed across all clinical trials.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Phase 2 Open-Label Trial to Evaluate Long-Term Safety and Efficacy of Obefazimod at 25 mg</w:t>
      </w:r>
    </w:p>
    <w:p>
      <w:pPr>
        <w:spacing w:after="0" w:line="225"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77790" cy="2339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7779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069330" cy="22199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6933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hanging="224"/>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ABX464-108 Interim Analysis Outputs as of July 31, 2023.</w:t>
      </w:r>
    </w:p>
    <w:p>
      <w:pPr>
        <w:ind w:left="340" w:hanging="224"/>
        <w:spacing w:after="0" w:line="221"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340" w:hanging="224"/>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Clinical Trials and Regulatory Pathway in UC</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working with IQVIA, a global premier contract research organization, to conduct the Phase 3 clinical trials with obefazimod in moderately to severely active UC, following consultations with regulatory agencies, including FDA, EMA, CDE and PMDA.</w:t>
      </w:r>
    </w:p>
    <w:p>
      <w:pPr>
        <w:spacing w:after="0" w:line="17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These pivotal Phase 3 clinical trials consist of two induction trials (ABTECT-1 and ABTECT-2) and the subsequent ABTECT maintenance trial investigating obefazimod at doses of 25 mg and 50 mg across 36 countries in North America, Latin America, Europe and Asia Pacific, involving 1,200 moderately to severely active UC patients in over 600 sites. Each of the trials will be randomized, double-blind and placebo-controlled, using independent and central review of the video-taped endoscopies with the primary endpoint of clinical remission according to the Modified Mayo Score assessed at week 8 (induction) and at the end of the 44-week maintenance trial (total 52 weeks), as recommended by the FDA.</w:t>
      </w:r>
    </w:p>
    <w:p>
      <w:pPr>
        <w:spacing w:after="0" w:line="16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Modified Mayo Score evaluates UC disease activity, based on three parameters: stool frequency, rectal bleeding and endoscopic evaluation. Each parameter of the score ranges from zero (normal or inactive disease) to three (severe activity). The patient rates stool frequency score (“SFS”) and rectal bleeding score (“RBS”) daily. The endoscopy subscore is evaluated by a central reader (who is blinded to any clinical information about the patient) from an endoscopy that is performed at the trial site. The inclusion criteria based on FDA guidance for moderately to severely active UC is active disease defined by a Modified Mayo Score ≥ 5 with (RBS) ≥ 1 and endoscopy subscore of 2 or 3 (confirmed by central reader). The primary endpoint for induction and maintenance is clinical remission defined as SFS of 0 or 1 and not greater than baseline and RBS = 0 and endoscopy subscore of 0 or 1. At week 8, secondary endpoints include endoscopic improvement, clinical response, symptomatic remission and histologic-endoscopic mucosal improvement (“HEMI”). At week 44 of the maintenance trial, secondary endpoints include endoscopic improvement, symptomatic remission, corticosteroid-free clinical remission, sustained clinical remission, HEMI and endoscopic remission.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design of our Phase 3 clinical trial with obefazimod in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8688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Enrollment of the first patient under this program in the United States occurred on October 11, 2022. Top-line data from the ABTECT-1 and ABTECT-2 induction trials is expected to be announced in the first quarter of 2025, and top-line data from the ABTECT maintenance trial is expected to be announced in the first quarter of 2026.</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chart depicts our recently completed and expected upcoming milestones for our Phase 3 clinical trials of obefazimod for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51755" cy="9944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5175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Clinical Trials Completed with Obefazimod</w:t>
      </w:r>
    </w:p>
    <w:p>
      <w:pPr>
        <w:spacing w:after="0" w:line="11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In addition, four Phase 1 clinical trials have recently been completed to assess the tolerability and safety profile of obefazimod: (i) a Phase 1 heart rhythm (QT interval) trial, for which we enrolled 120 healthy volunteers; (ii) a Phase 1 clinical trial of drug-drug interactions, for the purposes of providing further information on any possible interactions of obefazimod with other drugs, for which we enrolled 60 healthy volunteers; (iii) a Phase 1 absorption, distribution, metabolism and excretion trial for the purposes of generating additional data to further evaluate the safety profile of obefazimod, for which we enrolled 12 healthy volunteers; and (iv) a Phase 1 clinical trial conducted in Japanese subjects to further evaluate pharmacokinetics and tolerability of obefazimod in this population, for which we enrolled 48 healthy volunteers. The results of these Phase 1 clinical trials provide supportive data for our further clinical development and New Drug Application (“NDA”) submission. Furthermore, additional Phase 1 clinical trials to support NDA submission are planned. While we have decided not to pursue additional clinical work in RA at this point, we have completed a Phase 2a clinical trial in patients with RA, where we saw encouraging proof-of-concept data supporting obefazimod’s potential role in addressing inflammatory conditions beyond IBD.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Obefazimod in CD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CD Overview</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CD is a chronic inflammatory condition that can affect the GI tract from mouth to anus but typically affects the colon and last section of the ileum (terminal ileum). Although considered in the same category of IBD as UC, the inflammation occurs across the bowel wall which leads to different complications including stricture and fistula formation. CD affects about 3.2 per 1,000 people in Europe, North America and the United Kingdom. Collectively, we estimate there are approximately 1.1 million CD patients in G7 countries. Of these patients, approximately 0.5 million patients (or approximately 44%) are estimated to be diagnosed with moderately to severely active CD, with approximately 0.6 million patients (or approximately 56%) diagnosed with mildly to moderately active CD. While this disease is diagnosed at any age, onset is more common among adolescents and young adults. Patients typically present with abdominal pain, diarrhea, fatigue and weight loss. In cases of bowel obstruction, patients will also experience bloating and vomiting. The likelihood of having surgery mostly due to bowel obstruction within the lifetime of a CD patient is approximately</w:t>
      </w:r>
    </w:p>
    <w:p>
      <w:pPr>
        <w:spacing w:after="0" w:line="1" w:lineRule="exact"/>
        <w:rPr>
          <w:sz w:val="20"/>
          <w:szCs w:val="20"/>
          <w:color w:val="auto"/>
        </w:rPr>
      </w:pPr>
    </w:p>
    <w:p>
      <w:pPr>
        <w:ind w:left="120" w:right="1020"/>
        <w:spacing w:after="0" w:line="323" w:lineRule="auto"/>
        <w:rPr>
          <w:sz w:val="20"/>
          <w:szCs w:val="20"/>
          <w:color w:val="auto"/>
        </w:rPr>
      </w:pPr>
      <w:r>
        <w:rPr>
          <w:rFonts w:ascii="Arial" w:cs="Arial" w:eastAsia="Arial" w:hAnsi="Arial"/>
          <w:sz w:val="16"/>
          <w:szCs w:val="16"/>
          <w:color w:val="auto"/>
        </w:rPr>
        <w:t>80%. Besides bowel complications, patients can experience extra-intestinal manifestations (“EIMs”), which impact the skin, eye and joints primarily. The prevalence rate of EIMs is approximately 24% in all IBD patients, 27% in UC patients, but as high as 35% in CD patients.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Therapies and Their Limitations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Similar to existing UC treatments, patients may receive oral immunosuppressants, such as azathioprine and methotrexate as well as short courses of corticosteroids. In cases of moderately to severely active CD, the options for advanced therapy include very commonly prescribed TNF-a inhibitors, anti-integrin antibodies, IL-12/23 inhibitors, IL-23 inhibitors and JAK inhibitors. Therapies such as TNF-a inhibitors, IL-12/23 inhibitors or IL-23</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inhibitors are injectable agents, representing a significant commercial disadvantage due to patients’ and prescribers’ preference for the convenience of oral therapies. JAK inhibitors are accompanied by safety warnings due to increased risk of adverse events such as infection, cancer or blood clots.</w:t>
      </w:r>
    </w:p>
    <w:p>
      <w:pPr>
        <w:spacing w:after="0" w:line="12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Induction remission rates for these existing therapies are less than 50% and maintenance remission rates often decrease over time. There remains unmet needs for more effective and durable therapy, including those with more convenient delivery methods (as there are no approved oral therapies for first-line use in the United States), durable efficacy, treatment of patients who have failed biologic agents, improved mucosal healing, improved treatment for fistulizing CD and improved corticosteroid free remission. We believe obefazimod’s differentiated clinical profile, including dosing as a once-daily, oral therapy as well as its demonstrated tolerability and durability to date, position it favorably as a potential first-line advanced therapy option for patients and prescribers, if approved.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 CD</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estimated market opportunity for CD was approximately $16.3 billion in worldwide sales in 2022 and is expected to reach $16.6 billion in worldwide sales in 2028. In 2022, approximately $11.4 billion of sales came from the United States and all moderately to severely active CD sales came exclusively from injectable products. Similar to the UC market, we believe oral agents represent a significant commercial opportunity, particularly if such therapeutics can provide long-term safety and efficacy profiles comparable to injectable agents.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Obefazimod CD Development Program</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Due to the pathophysiological and clinical similarities of CD and UC, we plan to initiate a Phase 2a clinical trial in patients with CD in the first quarter of 2024 to potentially demonstrate outcomes consistent with those observed in our Phase 2 clinical trials for moderately to severely active UC. We believe the preclinical and Phase 1 data generated in our UC clinical trials are sufficient for completion of these equivalent trials in CD. We intend to</w:t>
      </w:r>
    </w:p>
    <w:p>
      <w:pPr>
        <w:spacing w:after="0" w:line="2" w:lineRule="exact"/>
        <w:rPr>
          <w:sz w:val="20"/>
          <w:szCs w:val="20"/>
          <w:color w:val="auto"/>
        </w:rPr>
      </w:pPr>
    </w:p>
    <w:p>
      <w:pPr>
        <w:ind w:left="340" w:hanging="224"/>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file an IND in the fourth quarter of 2023, (ii) initiate a Phase 2a clinical trial in patients with CD in the first quarter of 2024 and (iii) announce Phase</w:t>
      </w:r>
    </w:p>
    <w:p>
      <w:pPr>
        <w:spacing w:after="0" w:line="32" w:lineRule="exact"/>
        <w:rPr>
          <w:rFonts w:ascii="Arial" w:cs="Arial" w:eastAsia="Arial" w:hAnsi="Arial"/>
          <w:sz w:val="16"/>
          <w:szCs w:val="16"/>
          <w:color w:val="auto"/>
        </w:rPr>
      </w:pPr>
    </w:p>
    <w:p>
      <w:pPr>
        <w:ind w:left="120" w:right="260"/>
        <w:spacing w:after="0" w:line="255" w:lineRule="auto"/>
        <w:rPr>
          <w:rFonts w:ascii="Arial" w:cs="Arial" w:eastAsia="Arial" w:hAnsi="Arial"/>
          <w:sz w:val="16"/>
          <w:szCs w:val="16"/>
          <w:color w:val="auto"/>
        </w:rPr>
      </w:pPr>
      <w:r>
        <w:rPr>
          <w:rFonts w:ascii="Arial" w:cs="Arial" w:eastAsia="Arial" w:hAnsi="Arial"/>
          <w:sz w:val="18"/>
          <w:szCs w:val="18"/>
          <w:color w:val="auto"/>
        </w:rPr>
        <w:t>2a induction trial top-line results in the second half of 2025 with the objective to demonstrate clinical response and tolerability profile consistent with that already observed in our clinical trials for moderately to severely active UC. Based on the results from this Phase 2a clinical trial, we intend to proceed directly to a Phase 3 clinical trial.</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design of our Phase 2a clinical trial with obefazimod in 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568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Combination Therapy for the Treatment of IBD with Obefazimod as the Cornerstone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Despite the development of various advanced targeted therapies for IBD over the past 20 years, a single agent with transformational efficacy remains elusive. Although cross-trial efficacy comparisons must be interpreted with caution, induction of clinical remission rates have currently reached a placebo-adjusted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therapeutic ceiling up to 30%. Improved efficacy of combination therapy with thiopurines and TNF-a inhibitors has been well described (SONIC and UC-SUCCESS) but did not breach the aforementioned efficacy ceiling. Emerging data utilizing dual advanced targeted therapy affecting complementary mechanisms of action indicate a potential path to higher efficacy rates. The first trial utilizing this strategy (VEGA) randomized patients to three parallel treatment groups: (1) dual combination therapy with guselkumab (IL-23 inhibitor) plus golimumab (TNF-a inhibitor); (2) guselkumab alone; or</w:t>
      </w:r>
    </w:p>
    <w:p>
      <w:pPr>
        <w:spacing w:after="0" w:line="1" w:lineRule="exact"/>
        <w:rPr>
          <w:sz w:val="20"/>
          <w:szCs w:val="20"/>
          <w:color w:val="auto"/>
        </w:rPr>
      </w:pPr>
    </w:p>
    <w:p>
      <w:pPr>
        <w:ind w:left="120" w:right="340" w:hanging="4"/>
        <w:spacing w:after="0" w:line="302" w:lineRule="auto"/>
        <w:tabs>
          <w:tab w:leader="none" w:pos="37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golimumab alone. At the end of the 12-week induction period, a greater proportion of patients randomized to dual combination therapy achieved clinical remission (approximately 47%) compared to either monotherapy treatment arms (guselkumab at approximately 25%; golimumab at approximately 24%). Importantly, adverse events, serious adverse events and infection rates were comparable among treatment groups.</w:t>
      </w:r>
    </w:p>
    <w:p>
      <w:pPr>
        <w:spacing w:after="0" w:line="155" w:lineRule="exact"/>
        <w:rPr>
          <w:sz w:val="20"/>
          <w:szCs w:val="20"/>
          <w:color w:val="auto"/>
        </w:rPr>
      </w:pPr>
    </w:p>
    <w:p>
      <w:pPr>
        <w:ind w:left="120" w:right="360" w:firstLine="440"/>
        <w:spacing w:after="0" w:line="290" w:lineRule="auto"/>
        <w:rPr>
          <w:sz w:val="20"/>
          <w:szCs w:val="20"/>
          <w:color w:val="auto"/>
        </w:rPr>
      </w:pPr>
      <w:r>
        <w:rPr>
          <w:rFonts w:ascii="Arial" w:cs="Arial" w:eastAsia="Arial" w:hAnsi="Arial"/>
          <w:sz w:val="16"/>
          <w:szCs w:val="16"/>
          <w:color w:val="auto"/>
        </w:rPr>
        <w:t>We believe synergistic improvements that may be achieved with advanced combination therapy should be balanced with patient adherence to multiple biologic injections and safety considerations associated with immune suppression. Several of obefazimod’s attributes make it a potentially attractive candidate to pair with other advanced treatments. First, the oral route of administration is preferred by a majority of patients, potentially resulting in higher levels of medication adherence. Further, obefazimod’s proposed mechanism of action harnesses the body’s natural regulatory mechanisms to modulate the inflammatory response in patients with chronic inflammatory diseases. The novel mechanism of action of obefazimod potentially lends itself as complementary to other oral or injectable agents with the potential of improving the induction and remission efficacy over monotherapy. We believe the current clinical results we have observed with obefazimod including a lack of signals for malignancy, opportunistic or serious infection risk up to 96 weeks of treatment support development as an agent to be used in potential combination therapy.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Follow-On Compounds Program</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Based on the mechanistic concept of obefazimod, a research and development program is currently ongoing to generate new potential drug candidates to strengthen our intellectual property portfolio on the miR-124 platform. The first follow-on drug candidate is expected to be selected and enter preclinical development in 2024.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Obefazimod</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Our lead compound, obefazimod, is manufactured using commercially available, widely used raw materials and common chemical engineering and synthetic processes. Obefazimod is formulated as an oral solid capsule. We have successfully scaled-up active pharmaceutical ingredients and drug product processes, and we have a large supply of active pharmaceutical ingredients and capsules available for clinical trials.</w:t>
      </w:r>
    </w:p>
    <w:p>
      <w:pPr>
        <w:spacing w:after="0" w:line="14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outsource all manufacturing operations and rely on European third-party CMOs to supply clinical trials and finalize the development of obefazimod. These operations are designed to be in compliance with the standards imposed by Good Manufacturing Practice (“GMP”). We believe our outsourcing strategy and internal organization allow us to focus our resources on the development of different drug candidates and the management of third parties, without investing in expensive manufacturing facilities and equipment. All third parties are assessed under our quality system and agreements are in place to compel compliance and we maintain agreements with manufacturers which include confidentiality and intellectual property provisions to protect proprietary rights.</w:t>
      </w:r>
    </w:p>
    <w:p>
      <w:pPr>
        <w:spacing w:after="0" w:line="19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are in the process of further optimizing and scaling up our supply chain for obefazimod to ensure capacity for our expected commercial supply, if the FDA or foreign regulatory authority approved.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Since our incorporation in 2013, the majority of our resources have been allocated to research and development activities. We are conducting development activities to expand the commercial potential of our drug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candidates, in particular obefazimod. In the years ended December 31, 2021 and 2022, we incurred €47.8 million and €48.3 million, respectively, of research and development expenses, or 89.5% and 69.6% respectively, of our total operating expenses. Our research and development expenses consist primarily of the following items:</w:t>
      </w:r>
    </w:p>
    <w:p>
      <w:pPr>
        <w:spacing w:after="0" w:line="89" w:lineRule="exact"/>
        <w:rPr>
          <w:sz w:val="20"/>
          <w:szCs w:val="20"/>
          <w:color w:val="auto"/>
        </w:rPr>
      </w:pPr>
    </w:p>
    <w:p>
      <w:pPr>
        <w:ind w:left="1080" w:right="76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preclinical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expenses incurred under agreements with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expenses relating to regulatory affairs;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year ended December 31, 2022, our total operating expenses were €69.4 million, as compared to €53.4 million for the year ended December 31, 2021, an increase of €16.1 million, or 30%. This increase was primarily due to an increase in goodwill impairment loss and in general and administrative expenses while research and development expenses remained at a consistent level.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compete with companies that have drugs on the market or are developing drug candidates for chronic inflammatory disease. The biotechnology and pharmaceutical industries are highly competitive and subject to significant and rapid technological change, as researchers learn more about chronic inflammatory diseases and develop new technologies and treatments.</w:t>
      </w:r>
    </w:p>
    <w:p>
      <w:pPr>
        <w:spacing w:after="0" w:line="184"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Significant competitive factors in our industry include: (i) product efficacy and safety; (ii) quality and breadth of an organization’s technology; (iii) skill of an organization’s employees and its ability to recruit and retain key employees; (iv) timing and scope of regulatory approvals;</w:t>
      </w:r>
    </w:p>
    <w:p>
      <w:pPr>
        <w:ind w:left="380" w:hanging="264"/>
        <w:spacing w:after="0"/>
        <w:tabs>
          <w:tab w:leader="none" w:pos="3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government reimbursement rates for, and the average selling price of, pharmaceutical products; (vi) the availability of raw materials and qualified</w:t>
      </w:r>
    </w:p>
    <w:p>
      <w:pPr>
        <w:spacing w:after="0" w:line="32" w:lineRule="exact"/>
        <w:rPr>
          <w:rFonts w:ascii="Arial" w:cs="Arial" w:eastAsia="Arial" w:hAnsi="Arial"/>
          <w:sz w:val="16"/>
          <w:szCs w:val="16"/>
          <w:color w:val="auto"/>
        </w:rPr>
      </w:pPr>
    </w:p>
    <w:p>
      <w:pPr>
        <w:ind w:left="120" w:right="40"/>
        <w:spacing w:after="0" w:line="269" w:lineRule="auto"/>
        <w:rPr>
          <w:rFonts w:ascii="Arial" w:cs="Arial" w:eastAsia="Arial" w:hAnsi="Arial"/>
          <w:sz w:val="16"/>
          <w:szCs w:val="16"/>
          <w:color w:val="auto"/>
        </w:rPr>
      </w:pPr>
      <w:r>
        <w:rPr>
          <w:rFonts w:ascii="Arial" w:cs="Arial" w:eastAsia="Arial" w:hAnsi="Arial"/>
          <w:sz w:val="17"/>
          <w:szCs w:val="17"/>
          <w:color w:val="auto"/>
        </w:rPr>
        <w:t>manufacturing capacity; (vii) manufacturing costs; intellectual property and patent rights and their protection; and (viii) sales and marketing capabilities. Given the intense competition in our industry, we cannot assure you that even if we are able to successfully develop any products, that they will have a higher benefit-risk profile or better cost effectiveness compared to products developed or introduced by our competitors. Our competitors in the chronic inflammatory disease field are primarily large pharmaceuticals companies including, but not limited to, AbbVie, Pfizer, Eli Lilly, Takeda and Johnson &amp; Johnson.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 or intravenous infusions.</w:t>
      </w:r>
    </w:p>
    <w:p>
      <w:pPr>
        <w:spacing w:after="0" w:line="18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molecules in development have various mechanisms of action and are primarily: (i) TNF-a inhibitors; (ii) IL-12/23 inhibitors; (iii) anti-integrin anti-bodies; (iv) IL-23 inhibitors; (v) JAK inhibitors; (vi) S1P receptor agonists; or (vii) TL1A inhibitors.</w:t>
      </w:r>
    </w:p>
    <w:p>
      <w:pPr>
        <w:spacing w:after="0" w:line="170" w:lineRule="exact"/>
        <w:rPr>
          <w:sz w:val="20"/>
          <w:szCs w:val="20"/>
          <w:color w:val="auto"/>
        </w:rPr>
      </w:pPr>
    </w:p>
    <w:p>
      <w:pPr>
        <w:ind w:left="120" w:right="120" w:firstLine="440"/>
        <w:spacing w:after="0" w:line="197" w:lineRule="auto"/>
        <w:rPr>
          <w:sz w:val="20"/>
          <w:szCs w:val="20"/>
          <w:color w:val="auto"/>
        </w:rPr>
      </w:pPr>
      <w:r>
        <w:rPr>
          <w:rFonts w:ascii="Arial" w:cs="Arial" w:eastAsia="Arial" w:hAnsi="Arial"/>
          <w:sz w:val="18"/>
          <w:szCs w:val="18"/>
          <w:color w:val="auto"/>
        </w:rPr>
        <w:t>In the TNF-a treatment class, Remicade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(Janssen) was first approved by the FDA in 1998. In 2012, the European Commission approved AbbVie’s Humira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 the treatment of pediatric patients aged six to 17 years with severe active CD who have an inadequate response, are intolerant or have contraindications to conventional therapy.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197" w:lineRule="auto"/>
        <w:rPr>
          <w:sz w:val="20"/>
          <w:szCs w:val="20"/>
          <w:color w:val="auto"/>
        </w:rPr>
      </w:pPr>
      <w:r>
        <w:rPr>
          <w:rFonts w:ascii="Arial" w:cs="Arial" w:eastAsia="Arial" w:hAnsi="Arial"/>
          <w:sz w:val="18"/>
          <w:szCs w:val="18"/>
          <w:color w:val="auto"/>
        </w:rPr>
        <w:t>IL-12/23 inhibitors entered the UC market in 2019 as ustekinumab (Johnson &amp; Johnson’s Stelara</w:t>
      </w:r>
      <w:r>
        <w:rPr>
          <w:rFonts w:ascii="Arial" w:cs="Arial" w:eastAsia="Arial" w:hAnsi="Arial"/>
          <w:sz w:val="26"/>
          <w:szCs w:val="26"/>
          <w:color w:val="auto"/>
          <w:vertAlign w:val="superscript"/>
        </w:rPr>
        <w:t>®</w:t>
      </w:r>
      <w:r>
        <w:rPr>
          <w:rFonts w:ascii="Arial" w:cs="Arial" w:eastAsia="Arial" w:hAnsi="Arial"/>
          <w:sz w:val="18"/>
          <w:szCs w:val="18"/>
          <w:color w:val="auto"/>
        </w:rPr>
        <w:t>). In 2021, AbbVie filed an authorization application with FDA and EMA for Risankizumab (Anti-IL-23—Skyrizi</w:t>
      </w:r>
      <w:r>
        <w:rPr>
          <w:rFonts w:ascii="Arial" w:cs="Arial" w:eastAsia="Arial" w:hAnsi="Arial"/>
          <w:sz w:val="26"/>
          <w:szCs w:val="26"/>
          <w:color w:val="auto"/>
          <w:vertAlign w:val="superscript"/>
        </w:rPr>
        <w:t>®</w:t>
      </w:r>
      <w:r>
        <w:rPr>
          <w:rFonts w:ascii="Arial" w:cs="Arial" w:eastAsia="Arial" w:hAnsi="Arial"/>
          <w:sz w:val="18"/>
          <w:szCs w:val="18"/>
          <w:color w:val="auto"/>
        </w:rPr>
        <w:t>) for the treatment of moderately to severely active CD and a Phase 3 clinical trial in patients with UC is underway.</w:t>
      </w:r>
    </w:p>
    <w:p>
      <w:pPr>
        <w:spacing w:after="0" w:line="203" w:lineRule="exact"/>
        <w:rPr>
          <w:sz w:val="20"/>
          <w:szCs w:val="20"/>
          <w:color w:val="auto"/>
        </w:rPr>
      </w:pPr>
    </w:p>
    <w:p>
      <w:pPr>
        <w:ind w:left="120" w:right="120" w:firstLine="440"/>
        <w:spacing w:after="0" w:line="250" w:lineRule="auto"/>
        <w:rPr>
          <w:sz w:val="20"/>
          <w:szCs w:val="20"/>
          <w:color w:val="auto"/>
        </w:rPr>
      </w:pPr>
      <w:r>
        <w:rPr>
          <w:rFonts w:ascii="Arial" w:cs="Arial" w:eastAsia="Arial" w:hAnsi="Arial"/>
          <w:sz w:val="17"/>
          <w:szCs w:val="17"/>
          <w:color w:val="auto"/>
        </w:rPr>
        <w:t>Etrolizumab, a selective anti-alpha-4/beta-7 monoclonal antibody developed by Roche/Genentech, recently failed in Phase 3 for CD after failing in Phase 3 in UC in 2020. The anti-integrin class is currently represented by vedolizumab/Entyvio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natalizumab/Tysabri</w:t>
      </w:r>
      <w:r>
        <w:rPr>
          <w:rFonts w:ascii="Arial" w:cs="Arial" w:eastAsia="Arial" w:hAnsi="Arial"/>
          <w:sz w:val="25"/>
          <w:szCs w:val="25"/>
          <w:color w:val="auto"/>
          <w:vertAlign w:val="superscript"/>
        </w:rPr>
        <w:t>®</w:t>
      </w:r>
      <w:r>
        <w:rPr>
          <w:rFonts w:ascii="Arial" w:cs="Arial" w:eastAsia="Arial" w:hAnsi="Arial"/>
          <w:sz w:val="17"/>
          <w:szCs w:val="17"/>
          <w:color w:val="auto"/>
        </w:rPr>
        <w:t>. We are also aware of Morphic Therapeutic’s MORF-057 and Protagonist Therapeutics/Johnson &amp; Johnson’s PN-943 currently in development. The anti-integrin drugs work by preventing the leukocytes to move from the blood vessels to sites of inflammation. They block the action of integrin on the surface of circulating immune cells and endothelial cell adhesion molecules, thereby inhibiting the interactions between leukocytes and intestinal blood vessels. Natalizumab and vedolizumab block a4-integrin and a4ß7-integrin respectively. These drugs are injectable (Humanized mAb).</w:t>
      </w:r>
    </w:p>
    <w:p>
      <w:pPr>
        <w:spacing w:after="0" w:line="19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2021, Eli Lilly reported that mirikizumab (Anti-IL-23) generated data in a Phase 3 maintenance trial in patients with UC that led to the submission of an authorization request to regulatory agencies. Phase 3 clinical trials in CD are also underway with mirikizumab. All these drugs are injectable (Humanized mAb). IL-23 is a regulator of T-helper (Th)-17 cell. IL-23 prevents regulatory T-cell response in the intestine, and therefore increases inflammation in the gut. Anti-interleukins targeting the IL-23 have been shown to be effective for induction and maintenance of remission in patients with moderate-severe UC.</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JAK correspond to four intracellular tyrosine kinases: JAK1, JAK2, JAK3 and tyrosine kinase 2. Inhibition of the JAK-STAT signal channel makes it possible to block the production of pro-inflammatory cytokines, including TNF-a, to block other pathways of inflammation and to regulate innate and adaptive immunity. Thus, several cytokines and several inflammation pathways are blocked simultaneously, unlike TNF-a inhibitors, which only have a single target. In September 2021, FDA published a black box warning, requiring pharmaceutical companies to provide a warning for increased risk of serious cardiac events, cancer, blood clots and death linked to JAK inhibitor treatments used for the treatment of certain IBD, including UC. Consequently, these treatments are only accessible to patients who do not respond to any other available treatment and who have certain well-defined conditions. In the JAK inhibitor class, to our knowledge the following products are authorized or in advanced development:</w:t>
      </w:r>
    </w:p>
    <w:p>
      <w:pPr>
        <w:spacing w:after="0" w:line="72" w:lineRule="exact"/>
        <w:rPr>
          <w:sz w:val="20"/>
          <w:szCs w:val="20"/>
          <w:color w:val="auto"/>
        </w:rPr>
      </w:pPr>
    </w:p>
    <w:p>
      <w:pPr>
        <w:ind w:left="1080" w:right="20" w:hanging="424"/>
        <w:spacing w:after="0" w:line="234"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Pfizer’s tofacitinib (Xeljanz</w:t>
      </w:r>
      <w:r>
        <w:rPr>
          <w:rFonts w:ascii="Arial" w:cs="Arial" w:eastAsia="Arial" w:hAnsi="Arial"/>
          <w:sz w:val="25"/>
          <w:szCs w:val="25"/>
          <w:color w:val="auto"/>
          <w:vertAlign w:val="superscript"/>
        </w:rPr>
        <w:t>®</w:t>
      </w:r>
      <w:r>
        <w:rPr>
          <w:rFonts w:ascii="Arial" w:cs="Arial" w:eastAsia="Arial" w:hAnsi="Arial"/>
          <w:sz w:val="17"/>
          <w:szCs w:val="17"/>
          <w:color w:val="auto"/>
        </w:rPr>
        <w:t>) is a non-selective JAK inhibitor. It obtained marketing approval in UC in June 2018. In September 2021, the FDA concluded that there was a high risk of serious side effects following a randomized clinical trial conducted to assess the safety of tofacitinib. Consequently, the molecule will be used as a third line treatment in patients who meet specific criteria.</w:t>
      </w:r>
    </w:p>
    <w:p>
      <w:pPr>
        <w:spacing w:after="0" w:line="108" w:lineRule="exact"/>
        <w:rPr>
          <w:rFonts w:ascii="Arial" w:cs="Arial" w:eastAsia="Arial" w:hAnsi="Arial"/>
          <w:sz w:val="17"/>
          <w:szCs w:val="17"/>
          <w:color w:val="auto"/>
        </w:rPr>
      </w:pPr>
    </w:p>
    <w:p>
      <w:pPr>
        <w:ind w:left="1080" w:hanging="424"/>
        <w:spacing w:after="0" w:line="22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Gilead and Galapagos’ filgotinib (Jyseleca</w:t>
      </w:r>
      <w:r>
        <w:rPr>
          <w:rFonts w:ascii="Arial" w:cs="Arial" w:eastAsia="Arial" w:hAnsi="Arial"/>
          <w:sz w:val="26"/>
          <w:szCs w:val="26"/>
          <w:color w:val="auto"/>
          <w:vertAlign w:val="superscript"/>
        </w:rPr>
        <w:t>®</w:t>
      </w:r>
      <w:r>
        <w:rPr>
          <w:rFonts w:ascii="Arial" w:cs="Arial" w:eastAsia="Arial" w:hAnsi="Arial"/>
          <w:sz w:val="18"/>
          <w:szCs w:val="18"/>
          <w:color w:val="auto"/>
        </w:rPr>
        <w:t>) is a selective JAK1 inhibitor. Since November 2021, filgotinib has been approved for the treatment of UC in the European Union (the “EU”). Authorization requests have also been submitted to the UK Medicines and Healthcare products Regulatory Agency (“MHRA”) and the Japanese PMDA for the treatment of moderately to severely active UC. A Phase 3 clinical trial in patients with CD is also underway.</w:t>
      </w:r>
    </w:p>
    <w:p>
      <w:pPr>
        <w:spacing w:after="0" w:line="107" w:lineRule="exact"/>
        <w:rPr>
          <w:rFonts w:ascii="Arial" w:cs="Arial" w:eastAsia="Arial" w:hAnsi="Arial"/>
          <w:sz w:val="18"/>
          <w:szCs w:val="18"/>
          <w:color w:val="auto"/>
        </w:rPr>
      </w:pPr>
    </w:p>
    <w:p>
      <w:pPr>
        <w:jc w:val="both"/>
        <w:ind w:left="1080" w:right="140" w:hanging="424"/>
        <w:spacing w:after="0" w:line="222"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AbbVie’s upadacitinib (Rinvoq</w:t>
      </w:r>
      <w:r>
        <w:rPr>
          <w:rFonts w:ascii="Arial" w:cs="Arial" w:eastAsia="Arial" w:hAnsi="Arial"/>
          <w:sz w:val="26"/>
          <w:szCs w:val="26"/>
          <w:color w:val="auto"/>
          <w:vertAlign w:val="superscript"/>
        </w:rPr>
        <w:t>®</w:t>
      </w:r>
      <w:r>
        <w:rPr>
          <w:rFonts w:ascii="Arial" w:cs="Arial" w:eastAsia="Arial" w:hAnsi="Arial"/>
          <w:sz w:val="18"/>
          <w:szCs w:val="18"/>
          <w:color w:val="auto"/>
        </w:rPr>
        <w:t>), which is also a selective JAK1 inhibitor, was approved by the FDA in March 2022 for the treatment of moderately to severely active UC. EMA authorization for the treatment of moderately to severely active UC was granted in July 2022. A Phase 3 clinical trial in patients with CD is currently underway.</w:t>
      </w:r>
    </w:p>
    <w:p>
      <w:pPr>
        <w:spacing w:after="0" w:line="97" w:lineRule="exact"/>
        <w:rPr>
          <w:sz w:val="20"/>
          <w:szCs w:val="20"/>
          <w:color w:val="auto"/>
        </w:rPr>
      </w:pPr>
    </w:p>
    <w:p>
      <w:pPr>
        <w:ind w:left="120" w:firstLine="440"/>
        <w:spacing w:after="0" w:line="233" w:lineRule="auto"/>
        <w:rPr>
          <w:sz w:val="20"/>
          <w:szCs w:val="20"/>
          <w:color w:val="auto"/>
        </w:rPr>
      </w:pPr>
      <w:r>
        <w:rPr>
          <w:rFonts w:ascii="Arial" w:cs="Arial" w:eastAsia="Arial" w:hAnsi="Arial"/>
          <w:sz w:val="18"/>
          <w:szCs w:val="18"/>
          <w:color w:val="auto"/>
        </w:rPr>
        <w:t>S1P receptor agonists allow sequestration of activated lymphocytes in lymph nodes and thus reduce their circulation in the GI tract. Ozanimod (Zeposia</w:t>
      </w:r>
      <w:r>
        <w:rPr>
          <w:rFonts w:ascii="Arial" w:cs="Arial" w:eastAsia="Arial" w:hAnsi="Arial"/>
          <w:sz w:val="26"/>
          <w:szCs w:val="26"/>
          <w:color w:val="auto"/>
          <w:vertAlign w:val="superscript"/>
        </w:rPr>
        <w:t>®</w:t>
      </w:r>
      <w:r>
        <w:rPr>
          <w:rFonts w:ascii="Arial" w:cs="Arial" w:eastAsia="Arial" w:hAnsi="Arial"/>
          <w:sz w:val="18"/>
          <w:szCs w:val="18"/>
          <w:color w:val="auto"/>
        </w:rPr>
        <w:t>) is a S1P receptor modulator that is selective for the S1P1 and S1P5 receptors. It was approved by the FDA and EMA for the treatment of moderately to severely active UC in 2021. Phase 3 clinical trials are currently being conducted to assess the efficacy of ozanimod in CD. Top-line results of a Phase 3 induction trial of ARENA Pharmaceuticals’ Etrasimod for the treatment of UC were announced in March 2022 and the primary endpoint, as well as the key secondary endpoints were reached; a</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Phase 2/3 clinical trial is currently being conducted in CD. In addition, in October 2023, Ventyx Biosciences announced results from its Phase 2 clinical trial of VTX002 in UC.</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also aware of other types of treatments currently under various stages of development, such as NImmune Biopharma’s omilancor (a Lanthionine Synthetase C-Like 2 activator) as well as tyrosine kinase 2 inhibitors from Bristol Myers Squibb’s Sotyktu (deucravacitinib – approved in the EU) and Ventyx Biosciences’ VTX 958.</w:t>
      </w:r>
    </w:p>
    <w:p>
      <w:pPr>
        <w:spacing w:after="0" w:line="184"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Furthermore, TL1A inhibitors have garnered interest from those seeking newer targets and agents with differentiated clinical profile. While PRA023 (Merck-Prometheus) and RVT-3101 (Pfizer-Roivant) have generated promising early Phase 2 data in both biologics-experienced and biologics-naïve patients, neither have initiated Phase 3 clinical trials and do not have long-term safety and efficacy data beyond 56 weeks.</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competitors may also succeed in obtaining European Commission, FDA or other regulatory approvals for their drug candidates more rapidly than us, which could place us at a significant competitive disadvantage. Market acceptance of our drug candidates will depend on a number of factors, including: (i) potential advantages over existing or alternative therapies or tests; (ii) the actual or perceived safety of similar classes of products; (iii) the effectiveness of our sales, marketing, and distribution capabilities; and (iv) the scope of any approval provided by the FDA or foreign regulatory authorities.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anticipate that we will face intense and increasing competition as new drugs and therapies enter the market and advanced technologies become available.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Companies operating in the pharmaceutical industry are subject to increased scrutiny by the competent authorities and must deal with an ever-changing and increasingly restrictive legal and regulatory environment.</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development of drugs involves several stages: research and development, preclinical tests, clinical trials, authorization, manufacturing and commercialization.</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All of these stages are subject to specific requirements that impose substantial and onerous constraints, compliance with which is ensured by various national, regional (in the EU, the EMA) or federal (in the United States, the FDA) authorities.</w:t>
      </w:r>
    </w:p>
    <w:p>
      <w:pPr>
        <w:spacing w:after="0" w:line="170"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Failure to comply with these regulations may be subject to fines, to the suspension or withdrawal of the authorizations and certifications required to perform pharmaceutical activities, to the seizure or withdrawal of products from the market, or to partial or total suspension of their manufacturing. Regulatory authorities may also withdraw marketing authorizations (“MAs”) previously granted or reject MA applications (“MAAs”) and initiate legal proceedings, and their outcome remains uncertain.</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Although the regulatory constraints may differ from a country to another, development of therapeutic products for human use must comply with requirements shared by all developed countries. The steps to be completed before obtaining an MA in the EU and in the United States are generally as follows:</w:t>
      </w:r>
    </w:p>
    <w:p>
      <w:pPr>
        <w:spacing w:after="0" w:line="89"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conduct of preclinical laboratory tests and studies in animals, in accordance with Good Laboratory Practice (“GLP”);</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conduct of clinical trials in humans to demonstrate the safety and efficacy of the product for each considered indication, in accordance with Good Clinical Practice (“GCP”), if necessary after authorization by a competent authority and an ethics committee;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preparation and submission of an MAA to the competent authority, in order to market the product;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inspection by the competent authority of the manufacturing facilities in which the product and/or its ingredients are manufactured to assess compliance with Good Manufacturing Practices (“GMP”);</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inspection by the competent authority of establishments distributing medicinal products in order to assess their compliance with Good Distribution Practice (“GDP”);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needed, commitment by the applicant to comply with post-MA requirements.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Due to these regulatory constraints, the development and approval process of a drug candidate for commercialization, which varies according to its nature, complexity and novelty, usually extends over several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 Regulation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Within all EU Member States, preclinical studies include laboratory evaluation of the composition, purity and stability of the active pharmaceutical ingredient and the formulated product, as well as studies to evaluate the tolerance (toxicological studies), activity and behavior of the product candidate in vitro and in animals (in vivo).</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conduct of preclinical studies is subject to legal and regulatory provisions. Non-clinical studies are performed to demonstrate the health or environmental safety of new chemical or biological substances. Non-clinical (pharmaco-toxicological) studies must be conducted in compliance with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Preclinical studies are a prerequisite for the initiation of clinical trials in humans: all the results of these trials are submitted to the regulatory authorities at the same time as the application to initiate clinical trials. However, while preclinical tests must be performed prior to conducting clinical trials in humans, certain long-term preclinical tests, such as tests on reproductive toxicity and carcinogenicity, may continue after the submission of an application to initiate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 in Humans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various phases of clinical trials in the EU are subject to significant regulatory controls. They must be conducted in accordance with EU and national regulations, the standards adopted by the International Conference on Harmonization (“ICH”) and GCP.</w:t>
      </w:r>
    </w:p>
    <w:p>
      <w:pPr>
        <w:spacing w:after="0" w:line="170"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Directive no. 2001/20/EC on the conduct of clinical trials sought to harmonize the regulatory framework for clinical trials in the EU, setting out common rules for the monitoring and authorization of clinical trials in the EU. To reduce disparities between the transpositions by the Member States, Regulation 536/2014 on clinical trials on medicinal products for human use and repealing Directive 2001/20/EC, was adopted on April 16, 2014. This regulation aims to further harmonize and streamline the clinical trial authorization process, simplify adverse event reporting procedures, improve the supervision of clinical trials, and increase the transparency of clinical trials. This regulation became applicable on January 31, 2022. However, it provides for a three-year transition period (i.e., clinical trials for which an application was submitted in accordance with Directive no. 2001/20/EC before January 31, 2022, will continue to be subject to the Directive provisions for a period of three years). Furthermore, sponsors having submitted a clinical trial under the Directive until January 31, 2023 may remain governed by the Directive until January 31, 2025. By that date, all ongoing trials will become fully subject to the provisions of the Regulation 536/2014.</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Under the clinical trials regulation, the sponsor may submit its application for a clinical trial authorization to one or several Member States, in which case the evaluation of Part I of the dossier (scientific part) is carried out according to a coordinated procedure. In this framework, the sponsor must submit a single application for authorization via the portal associated with the EU database (“CTIS”), comprising a common scientific part evaluated jointly by all the EU Member States in which the trial will be carried out (with one of the Member States concerned acting as rapporteur Member State) and a national part covering the ethical aspects of the trial, evaluated independently by each Member State.</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conclusion of the rapporteur Member State with regard to Part I of the assessment report is deemed to be the conclusion of all Member States concerned. However, the Member States concerned may disagree with this conclusion for a number of limited reasons, for example when they consider that participation in the clinical trial would lead to a subject receiving a treatment inferior to that of normal clinical practice on their territory. The Member State concerned may then refuse the clinical trial on its territory.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“single” decision covering the conclusions of the Part I and Part II evaluations is issued by each of the Member States concerned and is notified to the sponsor on the dedicated European portal.</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sponsor of a clinical trial conducted in the EU notifies through the EudraVigilance database without delay and at the latest within the deadlines set by the clinical trials regulation, of all relevant information on suspected serious and unexpected adverse reactions to the investigational medicinal product. If the competent bodies concerned consider that the adverse effects outweigh the benefits for the participants, they may require the immediate suspension or early termination of the trial at any time.</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the sponsor must submit through CTIS once a year, for the duration of the clinical trial, an Annual Safety Report (ASR) for each investigational drug used in the clinical trial.</w:t>
      </w:r>
    </w:p>
    <w:p>
      <w:pPr>
        <w:spacing w:after="0" w:line="17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Finally, the EU framework applicable to clinical trials has also been significantly strengthened with Regulation (EU) 2016/679 of the European Parliament and of the Council of April 27, 2016, on the protection of natural persons with regard to the processing of personal data and on the free movement of such data, and repealing Directive 95/46/EC (General Data Protection Regulation, “GDPR”), which entered into force on May 25, 2018. This regulation has significantly increased EU citizens’ rights by giving them more control over their personal data. Thus, depending on the type of personal data processing carried out during clinical trials and the nature of such trials, it might be necessary to carry out formalities by the local Data Protection Authority, in addition to seeking formal informed consent which must be obtained from each clinical trial subject.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Responsibility of the Sponsor and Insurance Obligation of the Sponsor</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EU, the sponsor shall indemnify the subject of the trial in case of damage arising as a consequence of the research, unless he proves that the damage does not result from his fault or the fault of any other person intervening in the trial. In the EU, Member States generally require a sponsor to have an insurance covering its civil liability and the liability of any person intervening in the research. In addition, any breach to the provisions concerning clinical trials may lead to significant administrative, criminal and/or reputational penalties.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Within the EU, marketing of medicinal products is governed by EU regulations (including but not limited to Directive 2001/83/EC and Regulation 726/2004/EU).</w:t>
      </w:r>
    </w:p>
    <w:p>
      <w:pPr>
        <w:spacing w:after="0" w:line="17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April 26, 2023, the European Commission issued proposals for a revision of the current legal framework. Although the proposal is subject to adoption by EU institutions, which become effective upon adoption, this new framework, which in particular aims at granting timely access to patients for safe, effective and affordable medicines and at enhancing supply of medicines, may significantly amend general principles described above, notably timelines and market exclusivity periods.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EU, medicinal product candidates can only be commercialized after obtaining an MA. To obtain regulatory approval of a product candidate under EU regulatory systems, we must submit an MAA. The process for doing this depends, among other things, on the nature of the medicinal product. There are two types of MAs:</w:t>
      </w:r>
    </w:p>
    <w:p>
      <w:pPr>
        <w:spacing w:after="0" w:line="89" w:lineRule="exact"/>
        <w:rPr>
          <w:sz w:val="20"/>
          <w:szCs w:val="20"/>
          <w:color w:val="auto"/>
        </w:rPr>
      </w:pPr>
    </w:p>
    <w:p>
      <w:pPr>
        <w:ind w:left="1080" w:right="40" w:hanging="424"/>
        <w:spacing w:after="0" w:line="34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“Centralized MAs” are granted by the European Commission through the centralized procedure based on the opinion of the Committee for Medicinal Products for Human Use (“CHMP”) of the EMA. The MA issued under this procedure is valid in all EU Member States.</w:t>
      </w:r>
    </w:p>
    <w:p>
      <w:pPr>
        <w:spacing w:after="0" w:line="29" w:lineRule="exact"/>
        <w:rPr>
          <w:rFonts w:ascii="Arial" w:cs="Arial" w:eastAsia="Arial" w:hAnsi="Arial"/>
          <w:sz w:val="16"/>
          <w:szCs w:val="16"/>
          <w:color w:val="auto"/>
        </w:rPr>
      </w:pPr>
    </w:p>
    <w:p>
      <w:pPr>
        <w:ind w:left="1080" w:hanging="424"/>
        <w:spacing w:after="0" w:line="255"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centralized procedure is compulsory for some types of medicinal products such as biotechnology products, designated orphan medicinal products, products containing a new active substance indicated for the treatment of AIDS, cancer, neurodegenerative disorders, diabetes or autoimmune and viral diseases, advanced therapy medicinal products (such as gene therapy, somatic cell therapy and tissue engineered products). The centralized procedure is optional for products containing a new active substance that has not yet been authorized in the EU or for products which present a significant therapeutic, scientific or technical innovation or are of interest for the public health in the EU.</w:t>
      </w:r>
    </w:p>
    <w:p>
      <w:pPr>
        <w:spacing w:after="0" w:line="97"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“National MAs” are issued at a national level by the competent authorities of the concerned Member States. They are valid only on their territory. National MAs can be issued for products that do not fall within the mandatory scope of the centralized procedure. Medicinal products which have not received a national MA in any of the Member States, may be authorized through the decentralized procedure. This procedure enables the simultaneous issuance of national MAs in several EU countries. Under the decentralized procedure, an identical dossier is submitted to the competent authorities of each of the Member States in which an MA is sought. One of these Member States is designated by the applicant to act as the Reference Member State (“RMS”). The competent authority of the RMS drafts an assessment report and prepares an SmPC, a package leaflet and a draft labelling, which are sent to the other Member States involved in the procedure, known as the Concerned Member States (“CMS”), for approval. If the CMS do not raise any objections based on a potential serious risk to public health, regarding the assessment, the SmPC, the labelling or the packaging proposed by the RMS, a national MA is granted for the product in all Member States involved in the procedure (i.e., in the RMS and the CMS). Where a product has already been authorized for marketing in an EU Member State, this national MA can be recognized in another member state through the mutual recognition procedure. In this procedure, the Member State which issued the initial MA, known as the RMS, must prepare an assessment report on the medicinal product or update any existing report. This report is sent to the CMS, together with the approved SmPC and the labelling and package leaflet. Unless an objection based on a potential serious risk to public health is raised, the CMS issue(s) a national MA for the product, the terms of which are identical to the MA granted by the RMS.</w:t>
      </w:r>
    </w:p>
    <w:p>
      <w:pPr>
        <w:spacing w:after="0" w:line="16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Depending on the procedure used, the EMA or the national competent authority(ies) must, before granting a MA, make an assessment of the benefit/risk ratio of the product based on scientific criteria of quality, safety of use and efficacy. Under the centralized procedure the maximum timeframe for the evaluation of an MAA by the EMA is 210 days, excluding clock stops. In exceptional cases, the CHMP might perform an accelerated review of an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Moreover, in the EU, a conditional MA may be granted by the European Commission for a period of one year and is renewable annually.</w:t>
      </w:r>
    </w:p>
    <w:p>
      <w:pPr>
        <w:spacing w:after="0" w:line="23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conditional MA is granted in the absence of sufficient clinical data to obtain an ordinary MA if the following requirements are met: (i) the medicinal product is intended to treat, prevent or diagnose a fatal or seriously debilitating disease, (ii) it fulfils to an unmet medical need, (iii) its benefit/risk ratio is, on the basis of the available data, positive, (iv) it is likely that the applicant will be able to provide the required comprehensive post-MA clinical data and (v) in terms of public health, the benefits of the product’s immediate availability to patients outweigh the risks inherent to the lack of sufficient clinical data.</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granting of a conditional MA is accompanied by specific obligations, in particular relating to the completion of clinical trials, the performance of new studies and the collection of pharmacovigilance data in order to confirm the benefit/risk ratio of the product. Once the pending studies are provided, it can become a “standard” MA.</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MAs may also be granted under exceptional circumstances to medicinal products for which a complete evaluation file cannot be provided when the product’s indication is too rarely encountered and reasonably prevents the provision of comprehensive evidence, when the current state of scientific knowledge prevents the provision of such data or when the collection of the necessary data would be unethical.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However, despite the granting of a MA, both the MA holder and the competent authorities may decide to withdraw (voluntarily or compulsorily) a product from the market or a MA, when it appears that the product presents more risks than benefits for the patients.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and Marketing Exclusivity</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the EU, new products authorized for marketing (</w:t>
      </w:r>
      <w:r>
        <w:rPr>
          <w:rFonts w:ascii="Arial" w:cs="Arial" w:eastAsia="Arial" w:hAnsi="Arial"/>
          <w:sz w:val="16"/>
          <w:szCs w:val="16"/>
          <w:i w:val="1"/>
          <w:iCs w:val="1"/>
          <w:color w:val="auto"/>
        </w:rPr>
        <w:t>i.e.</w:t>
      </w:r>
      <w:r>
        <w:rPr>
          <w:rFonts w:ascii="Arial" w:cs="Arial" w:eastAsia="Arial" w:hAnsi="Arial"/>
          <w:sz w:val="16"/>
          <w:szCs w:val="16"/>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Development</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the EU, MAAs for new medicinal products must include the results of studies conducted in the pediatric population, in compliance with a Pediatric Investigation Plan (“PIP”) agreed with the EMA’s Pediatric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Committee (“PDCO”). The PIP sets out the timing and measures proposed to generate data to support a pediatric indication of the medicinal product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two-year extension of the orphan market exclusivity is granted.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and Distribution-related Requirements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To ensure patients’ safety, the manufacturing, distribution and import of active pharmaceutical ingredients and finished products into the EU are also subject to extensive requirements and both MA holders and manufacturers of medicinal products are subject to comprehensive regulatory oversight by the EMA, the European Commission and/or the competent regulatory authorities of the Member States.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Medicines (including their active substances) must be manufactured in accordance with GMP requirements. These regulations govern manufacturing processes and procedures, and notably provide for requirements relating to the implementation of quality systems to control and ensure the quality of materials and products. Manufacturing activities must be performed only within companies holding valid licenses from the competent regulatory authorities of the Member States which is issued following an inspection of the concerned facilities. In addition, routine inspections are conducted on a regularly basis to ensure that compliance is maintained.</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Distributors must also comply with very strict requirements, including good distribution practices (“GDP”). These regulations provide for strict requirements including the implementation of an effective quality system and adequate procedures to ensure the quality of the products all over the distribution chain and efficiently respond to claims, recalls, and risks of falsification, or the use of appropriate facilities, equipment and personnel. Similarly to manufacturing, distribution activities are subject to a prior approval from the competent regulatory authorities of the Member States which is issued following an inspection of the concerned facilities which aims at ensuring that the establishment complies with the applicable regulations. Routine inspections are also conducted on a regularly basis.</w:t>
      </w:r>
    </w:p>
    <w:p>
      <w:pPr>
        <w:spacing w:after="0" w:line="19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Finally, the import of active pharmaceutical ingredients and medicines into the EU must also be authorized in advance, in order to ensure that the products are manufactured and distributed in accordance with standards at least equivalent to those existing for the EU market.</w:t>
      </w:r>
    </w:p>
    <w:p>
      <w:pPr>
        <w:spacing w:after="0" w:line="146"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Failure to comply with the above requirements may be sanctioned by the suspension or withdrawal of the manufacturing/distribution/import authorization, civil, criminal or administrative penalties, or the withdrawal of the concerned active ingredients and finished products from the market.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Pharmacovigilance Requirements</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MA holder must establish and maintain a pharmacovigilance system and designate a Qualified Person Responsible for Pharmacovigilance (“QPPV”) who is responsible for the establishment and maintenance of that system, and oversees the safety profiles of medicinal products and any emerging safety concerns. The main obligations of the QPPV include prompt reporting of suspected serious adverse reactions and submission of periodic pharmacovigilance update reports (“PSURs”).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All new MAA must include a risk management plan (“RMP”) describing the risk management system that the company will put in place and setting out measures to prevent or minimize the risks associated with the medicinal product. The regulatory authorities may also issue an MA subject to the fulfillment of specific obligations. These risk reduction measures or post-authorization obligations may consist, in particular, of reinforced safety monitoring, more frequent submission of PSURs, the conduct of additional clinical trials or the performance of post- authorization safety studies.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Advertising Requirements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EU, the advertising and promotion of medicinal products is also subject to laws concerning promotion of medicinal products, interactions with physicians, misleading and comparative advertising and unfair commercial practices. The general principles applicable to the advertising of medicines, which is broadly defined as any form of door-to-door information, canvassing activity or inducement designed to promote the prescription, supply, sale or consumption of medicinal products, are established by EU directives.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advertising or promotion of a medicinal product must comply with its approved SmPC. Consequently, any promotion of off-label promotion is prohibited. Indeed, the advertising must encourage the rational use of medicines by presenting them objectively without exaggeration and thus, must not be misleading.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Depending on the Member States, advertising-related regulatory requirements may be sanctioned notably by fines, suspension or withdrawal of regulatory authorizations, medicinal products recalls, medicinal products seizures, operating restrictions and even criminal and/or civil prosecution and significant fines.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the EU, pricing and reimbursement systems widely vary from one country to another and remain exclusively the responsibility of the Member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Thus, Member States may restrict the range of medicines for which their national health insurance system provides reimbursement and to control the price of medicines for human use, provided that time limits for review of a reimbursement application provided in Directive 89/105/EEC of 21 December 1988 must be complied with.</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Some Member States use a system of positive and negative lists, whereby medicines can only be marketed after a reimbursement price has been agreed. Others may require additional studies comparing the cost-effectiveness of a medicinal product to existing therapies in order to obtain approval for reimbursement or pricing. Finally, Member States can agree to a set price or, instead, allow companies to set their own prices while having their profits monitored and controlled (e.g., control of the quantity of prescriptions).</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Over the last few years, many EU Member States have increased the amount of rebates applied to medicinal products, and these efforts may continue as Member States exercise greater control over their healthcare spending due to often large debts. The downward pressure on healthcare costs in general, including medicinal products subject to mandatory prescription, has become considerable. Changing political, economic and regulatory conditions can complicate price negotiations. This price negotiation can continue after reimbursement has been achieved and is generally subject to periodic reviews. Finally, reference prices used by various EU Member States and parallel trade (i.e., arbitrage by distributors between low and high price Member States) may also lead to further price reductions.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9" w:right="5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Relationships between the pharmaceutical industry and healthcare professionals are subject to national restrictions and regulations in order to avoid any incentive to prescribe drugs that is not justified by the patient’s state of health and profile.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example, in France, relations between companies producing and/or marketing health products or providing services associated with these products, regardless of their nationality and/or the location of their registered office, and healthcare professionals practicing in France are governed by the “anti-gift” and “transparency” laws.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purpose is to ensure that healthcare professionals, in their choice of a medicinal product, equipment or service, are guided solely by medical information and considerations.</w:t>
      </w:r>
    </w:p>
    <w:p>
      <w:pPr>
        <w:spacing w:after="0" w:line="170" w:lineRule="exact"/>
        <w:rPr>
          <w:sz w:val="20"/>
          <w:szCs w:val="20"/>
          <w:color w:val="auto"/>
        </w:rPr>
      </w:pPr>
    </w:p>
    <w:p>
      <w:pPr>
        <w:jc w:val="both"/>
        <w:ind w:left="120" w:right="540" w:firstLine="440"/>
        <w:spacing w:after="0" w:line="311" w:lineRule="auto"/>
        <w:rPr>
          <w:sz w:val="20"/>
          <w:szCs w:val="20"/>
          <w:color w:val="auto"/>
        </w:rPr>
      </w:pPr>
      <w:r>
        <w:rPr>
          <w:rFonts w:ascii="Arial" w:cs="Arial" w:eastAsia="Arial" w:hAnsi="Arial"/>
          <w:sz w:val="16"/>
          <w:szCs w:val="16"/>
          <w:color w:val="auto"/>
        </w:rPr>
        <w:t>By way of principle, under the French anti-gift law, persons providing health services, manufacturing or marketing healthcare products are prohibited from promising or offering advantages, in cash or in kind, either directly or indirectly, to healthcare professionals practicing in France, students intending to enter such professions or associations of these individuals, including learned societies and national professional councils.</w:t>
      </w:r>
    </w:p>
    <w:p>
      <w:pPr>
        <w:spacing w:after="0" w:line="149"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list of benefits that do that do not qualify as “advantages” under the anti-kickback regulation is very limited and includes, for example, benefits that relate to the exercise of the beneficiary’s profession and of negligible value, which may not exceed the amounts provided for by a Ministerial Order.</w:t>
      </w:r>
    </w:p>
    <w:p>
      <w:pPr>
        <w:spacing w:after="0" w:line="184"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By way of exception, above-mentioned health stakeholders may provide advantages to the healthcare professionals/associations mentioned above, subject to the conclusion of a written agreement and to a prior declaration to or approval from the authority to which the concerned beneficiary belongs.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exception is however limited to specific situations mainly including:</w:t>
      </w:r>
    </w:p>
    <w:p>
      <w:pPr>
        <w:spacing w:after="0" w:line="131" w:lineRule="exact"/>
        <w:rPr>
          <w:sz w:val="20"/>
          <w:szCs w:val="20"/>
          <w:color w:val="auto"/>
        </w:rPr>
      </w:pPr>
    </w:p>
    <w:p>
      <w:pPr>
        <w:ind w:left="1080" w:right="140" w:hanging="424"/>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remuneration, compensation and expenses for research activities, research promotion, scientific evaluation, consultancy, provision of services or commercial promotion, provided that the remuneration is proportionate to the service provided and that the compensation or expenses do not exceed the costs actually incurred by the persons concerned;</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Donations and gifts, in cash or in kind, exclusively intended to finance research activities, the promotion of research or scientific evaluation; or</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Hospitality offered during events of an exclusively professional or scientific nature, or during events promoting healthcare products or services, provided that this hospitality is of a reasonable level, strictly limited to the main purpose of the event and to healthcare professionals (excluding students);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When failing to comply with these regulations, in addition to a significant risk to their reputation, the companies and professionals concerned may be subject to significant criminal penalties and, in the case of the latter, disciplinary penalties.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French transparency provision, for its part, provides citizens with access to certain information on a website so that they can more objectively assess the relationships between health actors (i.e., a broad list including healthcare professionals, associations of healthcare professionals, students, associations of users of the health system, health establishments, academic institutions, foundations, learned societies and societies or advisory bodies involved in the health product or health services sector, etc.) and companies producing or marketing health products or providing services associated with these products. Under the terms of this regulation, the companies concerned must disclose the main information relating to their relationships with healthcare professionals, such as compensation or benefits paid, and agreements entered into. Companies that knowingly fails to disclose such information may be subject to criminal penalties.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Regulation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Since the end of the Brexit transition period on January 1, 2021, Great Britain (“GB”) (England, Scotland and Wales) has not been directly subject to EU laws. However, under the terms of the Ireland/Northern Ireland Protocol, EU laws have generally applied to Northern Ireland. On February 27, 2023, the UK government and the European Commission reached a political agreement on the so-called “Windsor Framework” which is intended to revise the Ireland/Northern Ireland Protocol in order to address some of the perceived shortcomings in its operation. The agreement was adopted at the Withdrawal Agreement Joint Committee on March 24, 2023. If the changes are adopted in the form proposed, medicinal products to be placed on the market in the UK will be authorized solely in accordance with UK laws. Northern Ireland would be reintegrated back into a UK-only regulatory environment under the authority of the MHRA with respect to all medicinal products. The implementation of the Windsor Framework would occur in various stages, with new arrangements relating to the supply of medicines into Northern Ireland anticipated to take effect in 2025.</w:t>
      </w:r>
    </w:p>
    <w:p>
      <w:pPr>
        <w:spacing w:after="0" w:line="165"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EU laws that have been transposed into United Kingdom (“UK”) law through secondary legislation remain applicable in Great Britain. However, new EU legislation that was either adopted or entered into application after Brexit such as the EU CTR is not applicable in Great Britain. The UK regulatory framework in relation to clinical trials is derived from previously existing EU legislation (as implemented into UK law, through secondary legislation). On January 17, 2022, the UK MHRA launched an 8-week consultation on reframing the UK legislation for clinical trials. The consultation closed on March 14, 2022, and aims to streamline clinical trial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(EU) CTR or diverge from it. Under the terms of the Ireland/Northern Ireland Protocol, provisions of the EU CTR which relate to the manufacture and import of investigational medicinal products and auxiliary medicinal products currently apply in Northern Ireland.</w:t>
      </w:r>
    </w:p>
    <w:p>
      <w:pPr>
        <w:spacing w:after="0" w:line="1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Since January 1, 2021, the MHRA has been the sole regulatory of medicines and medical devices in GB and for medicinal products that are not authorized through the centralized procedure in Northern Ireland. 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an MA that will be valid throughout the EEA, companies must be established in the EEA. Therefore, since Brexit, companies established in the UK can no longer use the EU centralized procedure for authorization of medicinal products intended to be marketed in the UK. In order to obtain a UK MA to commercialize products in the UK, an applicant must be established in the UK and must follow one of the UK national authorization procedures or one of the remaining post-Brexit international cooperation procedures to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obtain an MA to commercialize products in the UK. Until December 31, 2023, the MHRA may rely on a decision taken by the European Commission on the approval of a new (centralized procedure) MA when reviewing an application for authorization of a medicinal product to be supplied in GB. Depending on the nature and intended therapeutic purpose of the medicinal product, the MHRA may, alternatively, use its own decentralized or mutual recognition procedures which enable the MHRA to have regard to MAs approved in EU Member States, Iceland, Liechtenstein, Norway) when granting an MA in the UK or GB. From the first quarter of 2024, a new international recognition framework should be in place with an aim to extend the countries whose assessments the MHRA will take into account. The UK government will need to adopt new legislation to introduce this route.</w:t>
      </w:r>
    </w:p>
    <w:p>
      <w:pPr>
        <w:spacing w:after="0" w:line="16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There is no pre-MA orphan designation procedure. Applications for orphan designation are made at the same time as an application for MA and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on a clinical trial,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1080" w:right="22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Completion of preclinical laboratory studies, animal studies and formulation studies in compliance with the FDA’s GLP regulations, and other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Approval by the Institutional Review Board (“IRB”) or ethics committee, at each clinical site before each trial may be initiated;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effectiveness of the proposed drug product for each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60" w:hanging="424"/>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of potential inspection of selected clinical investigation sites to assess compliance with GCPs;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INDs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studies, together with manufacturing information, analytical data and any available clinical data or literature, among other things, to the FDA as part of an IND. Some preclinical studies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Clinical trials involve the administration of the investigational drug to human patients under the supervision of qualified investigators in accordance with GCP requirements, which include, among other things,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the IRB(s) competent for the institution(s) participating in the clinical trial must review and approve the plan for any clinical trial before it commences. Information about certain clinical trials must be submitted within specific timeframes to the National Institutes of Health for public dissemination on their www.clinicaltrials.gov website.</w:t>
      </w:r>
    </w:p>
    <w:p>
      <w:pPr>
        <w:spacing w:after="0" w:line="16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While the IND is active, progress reports detailing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Furthermore, the FDA or the sponsor may suspend or terminate a clinical trial at any time on various grounds, including a finding that the research patients are being exposed to an unacceptable health risk. Similarly, an IRB can suspend or terminate approval of a clinical trial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FDA approval, human clinical trials are generally conducted in three sequential phases that may overlap or be combined:</w:t>
      </w:r>
    </w:p>
    <w:p>
      <w:pPr>
        <w:spacing w:after="0" w:line="142" w:lineRule="exact"/>
        <w:rPr>
          <w:sz w:val="20"/>
          <w:szCs w:val="20"/>
          <w:color w:val="auto"/>
        </w:rPr>
      </w:pPr>
    </w:p>
    <w:p>
      <w:pPr>
        <w:ind w:left="1080" w:right="640" w:hanging="424"/>
        <w:spacing w:after="0" w:line="308"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candidate is initially introduced into healthy human subjects and tested for safety, dosage tolerance, absorption,</w:t>
      </w:r>
      <w:r>
        <w:rPr>
          <w:rFonts w:ascii="Arial" w:cs="Arial" w:eastAsia="Arial" w:hAnsi="Arial"/>
          <w:sz w:val="17"/>
          <w:szCs w:val="17"/>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spacing w:after="0" w:line="51"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candidate is administered to a limited patient population with a specified disease or condition to identify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effects and safety risks, to preliminarily evaluate the efficacy of the drug candidate for specific targeted diseases and to determine dosage tolerance and appropriate dosage.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candidate is administered to an expanded patient population to further evaluate dosage, to provide substantial evidence</w:t>
      </w:r>
      <w:r>
        <w:rPr>
          <w:rFonts w:ascii="Arial" w:cs="Arial" w:eastAsia="Arial" w:hAnsi="Arial"/>
          <w:sz w:val="18"/>
          <w:szCs w:val="18"/>
          <w:i w:val="1"/>
          <w:iCs w:val="1"/>
          <w:color w:val="auto"/>
        </w:rPr>
        <w:t xml:space="preserve"> </w:t>
      </w:r>
      <w:r>
        <w:rPr>
          <w:rFonts w:ascii="Arial" w:cs="Arial" w:eastAsia="Arial" w:hAnsi="Arial"/>
          <w:sz w:val="18"/>
          <w:szCs w:val="18"/>
          <w:color w:val="auto"/>
        </w:rPr>
        <w:t>of efficacy and to further test for safety, generally at multiple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geographically dispersed clinical trial sites. These clinical trials are intended to establish the overall risk-benefit ratio of the drug candidate and provide an adequate basis for product labeling.</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among other things, gain additional experience from the treatment of patients in the intended therapeutic indication. In certain instances, the FDA may mandate the performance of Phase 4 clinical trials as a condition of approval of an NDA.</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GMPs. The manufacturing process must be capable of consistently producing quality batches of the drug candidate and, among other things, the manufacturer must develop methods for testing the identity, strength, quality and purity of the final drug. In addition, appropriate packaging must be selected and tested, and stability studies must be conducted to demonstrate that the drug candidate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(“REMS”) plan to ensure that the benefits of the drug outweigh its risks. The REMS plan could include Medication Guides (FDA approved patient labeling to be provided to patients when the drug is dispensed), physician communication plans, assessment plans, or Elements to Assure Safe Use, such as restricted distribution methods, patient registries, or other risk minimization tools.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FDA is not bound by the recommendations of an Advisory Committee, but it considers such recommendations carefully when making decisions.</w:t>
      </w:r>
    </w:p>
    <w:p>
      <w:pPr>
        <w:spacing w:after="0" w:line="23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Before approving an NDA, the FDA typically will inspect the facility or facilities where the commercial product would be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verify the clinical data submitted in the NDA, and to assure compliance with GCP requirements.</w:t>
      </w:r>
    </w:p>
    <w:p>
      <w:pPr>
        <w:spacing w:after="0" w:line="15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7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at any time prevent or limit further marketing of a product based on the results of post-marketing studies or surveillance programs. After initial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the submission of 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certain supplemental applications.</w:t>
      </w:r>
    </w:p>
    <w:p>
      <w:pPr>
        <w:spacing w:after="0" w:line="17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manufacturers to investigate and correct of any deviations from cGMP requirements and impose reporting and documentation requirements upon the sponsor and any third-party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manufacturers that the sponsor may decide to use. Accordingly, manufacturers must continue to expend time, money, and effort in the area of production and quality control to maintain cGMP compliance.</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potential consequences include, among other things:</w:t>
      </w:r>
    </w:p>
    <w:p>
      <w:pPr>
        <w:spacing w:after="0" w:line="131"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unapproved uses (“off-label” uses), and a company that is found to have improperly promoted off-label uses may be subject to significant liability.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 communications on the subject of off-label use of their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Exclusivity</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Sales of our drug candidates, if approved, will depend, in part, on the extent to which such products will be covered by third-party payors, such as government health care programs, commercial insurance and managed healthcare organizations. These third-party payors determine which medications they will cover and establish reimbursement levels. In addition,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and state legislatures have continued implementing cost-containment programs, including price controls, restrictions on reimbursement and requirements for substitution of generic products.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As a result, adoption of price controls and cost-containment measures, and adoption of more restrictive policies in jurisdictions with existing controls and measures, could further limit our net revenue and results. Decreases in third-party reimbursement for our drug candidates or a decision by a third-party payor to not cover our drug candidates could reduce physician usage of our drug candidates, once approved, and have a material adverse effect on our sales, results of operations and financial condition. Additionally, we or our collaborators may develop companion diagnostic tests for use with our drug candidates. We or our collaborators will be required to obtain coverage and reimbursement for these tests separate and apart from the coverage and reimbursement we seek for our drug candidates, once approved. Similar challenges to obtaining coverage and reimbursement, applicable to pharmaceutical or biological products, will apply to companion diagnostics.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will also be subject to other healthcare regulation and enforcement by the U.S. federal government and the states in which we will conduct our business once our drug candidates are approved. Failure to comply with these laws, where applicable, can result in the imposition of significant administrative, civil, and criminal penalties. The laws that may affect our ability to operate in the United States include:</w:t>
      </w:r>
    </w:p>
    <w:p>
      <w:pPr>
        <w:spacing w:after="0" w:line="71" w:lineRule="exact"/>
        <w:rPr>
          <w:sz w:val="20"/>
          <w:szCs w:val="20"/>
          <w:color w:val="auto"/>
        </w:rPr>
      </w:pPr>
    </w:p>
    <w:p>
      <w:pPr>
        <w:ind w:left="1080" w:right="40" w:hanging="424"/>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Federal false claims act laws, including the civil False Claims Act, which prohibit, among other things, individuals or entities from knowingly presenting, or causing to be presented, claims for payment from Medicare, Medicaid, or other third-party payors that are false or fraudulent;</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federal health care fraud statutes,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5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Physician Payments Sunshine Act,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 care professionals (such as physicians assistants and nurse practitioners), and teaching hospitals, as well as and ownership and investment interests held by physicians and their immediate family members;</w:t>
      </w:r>
    </w:p>
    <w:p>
      <w:pPr>
        <w:spacing w:after="0" w:line="93" w:lineRule="exact"/>
        <w:rPr>
          <w:rFonts w:ascii="Arial" w:cs="Arial" w:eastAsia="Arial" w:hAnsi="Arial"/>
          <w:sz w:val="18"/>
          <w:szCs w:val="18"/>
          <w:color w:val="auto"/>
        </w:rPr>
      </w:pPr>
    </w:p>
    <w:p>
      <w:pPr>
        <w:ind w:left="1080" w:right="340" w:hanging="424"/>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 and</w:t>
      </w:r>
    </w:p>
    <w:p>
      <w:pPr>
        <w:spacing w:after="0" w:line="92"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governs the conduct of certain electronic healthcare transactions and protects the security and privacy of protected health information.</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many states have similar laws and regulations, such as anti-kickback and false claims laws that may be broader in scope and may apply regardless of payor, in addition to items and services reimbursed under Medicaid and other state programs. Further, certain states enacted laws that require: pharmaceutical companies to comply with the pharmaceutical industry’s voluntary compliance guidelines and the relevant compliance guidance promulgated by the federal government; drug manufacturers to report information related to payments and other transfers of value to physicians and other healthcare providers or marketing expenditures; the reporting of information related to drug pricing; the registration of pharmaceutical sales representatives. Certain states have also enacted legislation to govern the privacy and security of health information, many of which differ from each other in significant ways and often are not preempted by HIPAA, thus complicating compliance efforts. Additionally, to the extent that our product is sold in a foreign country, we may be subject to similar foreign laws.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Healthcare Reform</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enactment of the Affordable Care Act (“ACA”) has substantially changed healthcare financing and delivery by both governmental and private insurers, and significantly impacted the pharmaceutical industry. The ACA, among other things, established an annual, nondeductible fee on any entity that manufactures or imports certain specified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Most recently, on June 17, 2021, the United States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Other legislative changes have been proposed and adopted since the ACA was enacted. For example, on August 2, 2011, the Budget Control Act of 2011 was signed into law which among other things, led to aggregate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reductions in Medicare payments to providers. These reductions went into effect on April 1, 2013, and, due to subsequent legislative amendments, will remain in effect until 2032, except for a temporary suspension from May 1, 2020, through March 31, 2022, due to the COVID-19 pandemic.</w:t>
      </w:r>
    </w:p>
    <w:p>
      <w:pPr>
        <w:spacing w:after="0" w:line="124"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In addition, there has been heightened governmental scrutiny over the manner in which manufacturers set prices for their marketed products. For example, there have been several congressional inquiries and proposed bills designed to, among other things, bring more transparency to drug pricing, review the relationship between pricing and manufacturer patient programs, and reform government program reimbursement methodologies for drug products. For example, on March 11, 2021, the American Rescue Plan Act of 2021 was signed into law, which eliminates the statutory Medicaid drug rebate cap, currently set at 100% of a drug’s average manufacturer price, beginning January 1, 2024. In addition, the IRA, among other things,</w:t>
      </w:r>
    </w:p>
    <w:p>
      <w:pPr>
        <w:spacing w:after="0" w:line="2" w:lineRule="exact"/>
        <w:rPr>
          <w:sz w:val="20"/>
          <w:szCs w:val="20"/>
          <w:color w:val="auto"/>
        </w:rPr>
      </w:pPr>
    </w:p>
    <w:p>
      <w:pPr>
        <w:ind w:left="120" w:hanging="4"/>
        <w:spacing w:after="0" w:line="268" w:lineRule="auto"/>
        <w:tabs>
          <w:tab w:leader="none" w:pos="37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directs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although the Medicare drug price negotiation program is currently subject to litigation. Further, the Biden administration released an additional executive order on October 14, 2022, directing HHS to submit a report within 90 days on how the Center for Medicare and Medicaid Innovation (“CMMI”) can be further leveraged to test new models for lowering drug costs for Medicare and Medicaid beneficiaries. In response, on February 14, 2023, HHS released a report outlining three new models for testing by the CMMI which will be evaluated on their ability to lower the cost of drugs, promote accessibility, and improve quality of care. It is unclear whether the models will be utilized in any health reform measures in the future.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our drug candidates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success will depend upon our ability to obtain and maintain patents and other intellectual property for our drug candidates in the United States and internationally, including composition-of-matter, pharmaceutical composition, synthesis process, method of manufacture and method of treatment, as well as patent and other intellectual property and proprietary protection for our novel discoveries and other important technology inventions and know-how.</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One of our strategies is also to file new patents that could extend obefazimod’s intellectual property protection in the United States to 2039 and to generate new intellectual property through the protection of potential follow-on compounds.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to patents, we rely upon unpatented trade secrets, know-how, and continuing technological innovation to develop and maintain our competitive position. We protect our proprietary information, in part, using confidentiality agreements with our commercial partners, collaborators, employees and consultants and invention assignment agreements with our employees. We also have confidentiality agreements or invention assignment agreements with our commercial partners and selected consultants. Despite these measures,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In addition, such confidentiality agreements and invention assignment agreements can be breached and we may not have adequate remedies for any such breach. For more information, please see “Risk Factors—Risks Related to Intellectual Property.”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are seeking patent protection for our drug candidates, the patent term is 20 years from the earliest date of filing a non-provisional patent application. In the United States, the term of a patent may be lengthened by a patent term adjustment, which provides for term extension in the case of administrative delays at the United States Patent and Trademark Office in granting a patent, or may be shortened if a patent is terminally disclaimed over another patent with an earlier expiration date. Furthermore, in the United States, the term of a patent covering an FDA approved drug may be eligible for patent term extension (“PTE”) under the Hatch-Waxman Amendments as compensation for the loss of patent term during the FDA regulatory review process. The period of extension may be up to five years beyond the expiration of the patent but cannot extend the term of a patent beyond a total of 14 years from the date of product approval. Only one patent covering a single FDA-approved product among those eligible for an extension may be extended. In the future, if any of our drug candidates receives FDA approval, we expect to apply for a PTE, if available, to extend the term of a patent covering such approved drug product. We also expect to seek PTEs in any jurisdictions where they are available, however, there is no guarantee that the applicable authorities, including the FDA, will agree with our assessment of whether such an extension should be granted, and even if granted, the length of such an extension. See “Risk Factors—Risks Related to Intellectual Property — Our ability to commercialize our drug candidates may decrease if we are unable to protect our intellectual property rights or if these rights are insufficient for our purposes.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All the patents and patent applications covering obefazimod are co-owned with the French National Centre for Scientific Research (the “CNRS”), the University of Montpellier, and the Institut Curie, except U.S. patent 10,464,903 and U.S. patent 10,745,357, as described below.</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Obefazimod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2023, the principal patent rights related to obefazimod, include:</w:t>
      </w:r>
    </w:p>
    <w:p>
      <w:pPr>
        <w:spacing w:after="0" w:line="131" w:lineRule="exact"/>
        <w:rPr>
          <w:sz w:val="20"/>
          <w:szCs w:val="20"/>
          <w:color w:val="auto"/>
        </w:rPr>
      </w:pPr>
    </w:p>
    <w:p>
      <w:pPr>
        <w:ind w:left="1080" w:right="20" w:hanging="424"/>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patent 10,017,498, which is directed to the composition of matter of obefazimod generically and specifically and to a pharmaceutical composition comprising it. This patent is also granted in Europe and several other countries (Australia, Brazil, Canada, China, Hong Kong, Cuba, India, Japan, South Korea, Mexico, Russia, South Africa) and has an expiry date of 2030, not including patent term adjustment or any potential PTE.</w:t>
      </w:r>
    </w:p>
    <w:p>
      <w:pPr>
        <w:spacing w:after="0" w:line="9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patent 10,975,063, which is directed specifically to obefazimod (composition of matter), free base and salts of obefazimod, a pharmaceutical composition comprising it, a process for preparing it and a method for treating HIV infection. This patent has an expiry date of 2030, not including patent term adjustment or any potential PTE.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patent 10,435,370, which is directed to methods of treating inflammatory diseases including UC and CD by obefazimod generically and specifically. This patent is also granted in Europe and several other countries.</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U.S. continuation patent 11,649,211 is directed to the method of treating inflammatory diseases including UC and CD by obefazimod specifically. Divisional U.S. patents protect methods of treating additional inflammatory diseases (U.S. patent 10,981,874 and U.S. patent 11,649,210). These patents have an expiry date of 2035, not including patent term adjustment or any potential PTE.</w:t>
      </w:r>
    </w:p>
    <w:p>
      <w:pPr>
        <w:spacing w:after="0" w:line="54"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patent 10,464,903 and U.S. patent 10,745,357, which are directed to a synthesis process for manufacturing obefazimod and derivatives thereof, a polymorphic form of the free base of obefazimod and crystalline forms of various salts of obefazimod. These patents have an expiry date of 2037, not including patent term adjustment or any potential PTE. A corresponding European patent has also been granted. These patents are solely owned by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1"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Further indications are also protected by other patents: U.S. patent 9,827,237, which is directed to the method of treating Human Leukemia virus infection. This patent is also granted in Europe and several other countries and has an expiry date of 2034. U.S. patent 9,145,367, which is directed to the method of treating AIDS by obefazimod generically and specifically. This patent is also granted in Europe and several other countries and has an expiry date of 2030. U.S. patent 9,108,919, which is directed to the method of treating cancer by obefazimod generically and specifically. This patent is also granted in Europe and several other countries and has an expiry date of 2030. Another patent application directed to a method of treating cancer has been filed worldwide in 2019. U.S. patent 10,806,729 which is directed to the method of treating HIV resistant patients by obefazimod generically and specifically. This patent is also granted in Europe and other countries and has an expiry date of 2036.</w:t>
      </w:r>
    </w:p>
    <w:p>
      <w:pPr>
        <w:spacing w:after="0" w:line="83"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U.S. patent applications 17/416,856 and 17/416,679, which are respectively directed to the method of treating other inflammatory diseases and cancer by obefazimod generically and specifically or its N-glucuronide metabolite have been filed in 2019, as well as counterpart applications in other countries.</w:t>
      </w:r>
    </w:p>
    <w:p>
      <w:pPr>
        <w:spacing w:after="0" w:line="89"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U.S. patent application 17/913,063, which is directed to the method of treating Coronaviridae infection by obefazimod generically and specifically or its N-glucuronide metabolite has been filed in 2021, as well as counterpart applications in other countries.</w:t>
      </w:r>
    </w:p>
    <w:p>
      <w:pPr>
        <w:spacing w:after="0" w:line="51"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U.S. patent application 17/796,834, which is directed to the amorphous solid dispersion (ASD) of obefazimod, its method of preparation, pharmaceutical composition and method of treating inflammatory disease, cancer and viral diseases therewith has been filed in 2021, as well as counterpart applications in other countries.</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U.S. patent application 17/793,133, which is directed to co-crystals and salts of obefazimod, pharmaceutical composition and method of treating inflammatory disease, cancer and viral diseases therewith has been filed in 2021, as well as counterpart applications in other countries.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PCT international patent application PCT/EP2022/057628, which is directed to a synthesis process for manufacturing obefazimod and derivatives thereof and was filed in 2022.</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Two PCT international patent applications were filed under PCT/EP2023/050641 and PCT/EP2023/051424 in 2023 directed to combinations products with obefazimod respectively with etrasimod and Rinvoq.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 and Domain Names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own a number of trademarks and domain names, including our logo and the URL for our website, as well as a number of websites including the name “abivax” or “obefazimod.” “Abivax” is a registered trademark of our company in Canada, China, Cuba, the EU, France, India, South Africa and the United Kingdom. We also hold pending applications for the “Abivax” trademark in Australia, Brazil, Canada, Cuba, India, Japan, Mexico, South Africa, South Korea and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Collaborations and Partners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Kreos / Claret Financing Agreements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August 20, 2023, we entered into the Framework Subscription Agreement with KC and Claret, as the Secured Lenders. Under this Framework Subscription Agreement, we may draw up to €75 million in structured debt financing in three tranches of €25 million in aggregate principal amount each, as further described below.</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first tranche, with an aggregate principal amount of €25 million, takes the form of senior secured convertible bonds with warrants attached, which we refer to as the Kreos / Claret OCABSA. We drew the first tranche on August 21, 2023. On the same date, we repaid all outstanding amounts that remained due under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First KC Agreement and the Second KC Agreement. The Kreos / Claret OCABSA are convertible into ordinary shares at any time from their issuance at the request of their holders at a fixed conversion price of €21.2209, subject to standard adjustments, including anti-dilution and dividend protections.</w:t>
      </w:r>
    </w:p>
    <w:p>
      <w:pPr>
        <w:spacing w:after="0" w:line="12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second tranche, with an aggregate principal amount of €25 million, takes the form of senior secured non-convertible bonds and may be drawn before March 31, 2024, subject to satisfaction of customary closing conditions. The drawdown of the second tranche is subject to a maximum 10% Debt-To-Market Capitalization Ratio at the time of drawdown. The “Debt-To-Market Capitalization Ratio” is calculated, on any relevant date, by dividing (i) our indebtedness (including amounts due under the Kreos / Claret Financing, but excluding amounts due under the Heights Financing), by</w:t>
      </w:r>
    </w:p>
    <w:p>
      <w:pPr>
        <w:spacing w:after="0" w:line="1" w:lineRule="exact"/>
        <w:rPr>
          <w:sz w:val="20"/>
          <w:szCs w:val="20"/>
          <w:color w:val="auto"/>
        </w:rPr>
      </w:pPr>
    </w:p>
    <w:p>
      <w:pPr>
        <w:ind w:left="120" w:hanging="4"/>
        <w:spacing w:after="0" w:line="260" w:lineRule="auto"/>
        <w:tabs>
          <w:tab w:leader="none" w:pos="3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our market capitalization calculated by multiplying the number of our outstanding ordinary shares by the closing price of our ordinary shares on such relevant date.</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third tranche, with an aggregate principal amount of €25 million, takes the form of senior secured non-convertible bonds and may be drawn before July 31, 2024, subject to satisfaction of customary closing conditions. The drawdown of the third tranche is subject to a maximum 10% Debt-To-Market Capitalization Ratio at the time of drawdown and is conditional on our raising of a minimum of $125 million in gross proceeds through a listing on Nasdaq before June 30, 2024.</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Interest on the Kreos / Claret OCABSA accrues annually at a rate of 9% payable in quarterly installments. The Kreos / Claret OCABSA’s maturity date is March 31, 2027 and the final repayment date is January 1, 2027.</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variable interest rate of 7.5% plus European Central Bank Base Rate (subject to a minimum interest rate of 2.5% and a maximum interest rate of 4%) applies to each of the second and third tranches. These two tranches will be repaid monthly through March 31, 2027, after a deferred repayment of the principal (i) until October 1, 2024, for the second tranche, or February 1, 2025, if the conditions to draw the third tranche are met, and (ii) until February 1, 2025, for the third tranche.</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Kreos / Claret Financing provides for certain restrictive covenants (subject to customary exceptions), which include, among other things, restrictions on the incurrence of indebtedness, cross-default, the distribution of dividends and the grant of security interests. As security for the Kreos / Claret Financing, the Secured Lenders benefit from the grant of first-ranking collateral on our principal tangible and intangible assets, including pledges over our business (</w:t>
      </w:r>
      <w:r>
        <w:rPr>
          <w:rFonts w:ascii="Arial" w:cs="Arial" w:eastAsia="Arial" w:hAnsi="Arial"/>
          <w:sz w:val="17"/>
          <w:szCs w:val="17"/>
          <w:i w:val="1"/>
          <w:iCs w:val="1"/>
          <w:color w:val="auto"/>
        </w:rPr>
        <w:t>fonds de commerce</w:t>
      </w:r>
      <w:r>
        <w:rPr>
          <w:rFonts w:ascii="Arial" w:cs="Arial" w:eastAsia="Arial" w:hAnsi="Arial"/>
          <w:sz w:val="17"/>
          <w:szCs w:val="17"/>
          <w:color w:val="auto"/>
        </w:rPr>
        <w:t>) as a going concern and intellectual property rights in our lead drug candidate, as well as pledges over our bank accounts and receivables. Such securities apply to all tranches of the Kreos / Claret Financing.</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part of the Kreos / Claret Financing, we have issued warrants to the Secured Lenders for a global subscription price of €1.00, giving them the right to subscribe to up to 214,198 new ordinary shares at an exercise price of €18.6744.</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the conditions for the drawdown of the third tranche of the Kreos / Claret Financing are met, we will issue additional warrants to KC and Claret for a global subscription price of €1.00 unless we expressly decline the third tranche within 14 days of the conditions being met. The exercise price of the additional warrants to be issued will be equal to 110% of the 15-day volume weighted average price (“VWAP”) of our ordinary shares prior to the date on which their issuance is decided. The number of warrants to be issued will be calculated by dividing €4 million by the aforementioned exercise price. Of these additional warrants, 50% will be exercisable upon issuance and the remaining 50% shall only be exercisable if we draw the third tranche of the Kreos / Claret Financing.</w:t>
      </w:r>
    </w:p>
    <w:p>
      <w:pPr>
        <w:spacing w:after="0" w:line="19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warrants issued to the Secured Lenders can be exercised over a period of seven years from their issuance date or up until the date of the successful closing of a tender offer for our ordinary shares, whichever is earlier. At the time of exercise of the warrants, the holders of the warrants are eligible to sell part of their warrants to us in accordance with a put option agreement to allow for a cashless exercise of the warrants.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Kreos / Claret OCABSA, the non-convertible bonds and the warrants issued in the framework of the Kreos / Claret Financing will not be listed on any market. The agreements relating to the Kreos / Claret Financing are governed by French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Prior KC Agreements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On July 24, 2018, we entered into the First KC Agreement for €20 million venture loan agreement with KC. The financing consists of two tranches of structured debt financing: (i) a total principal amount of First Tranche A Notes of €10 million, comprised of (x) €8 million in non-convertible bonds issued in July 2018 and (y) €2 million in convertible bonds issued in August 2018 and (ii) a total principal amount of First Tranche B Notes of €10 million, comprised of (x) €8 million in non-convertible bonds and (y) €2 million in convertible bonds, each issued in May 2019.</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October 12, 2020, we entered into the Second KC Agreement for bonds issue agreement with KC, pursuant to which we issued bonds in a total principal amount of Second Tranche A Notes of €15 million, comprised of (i) a €10 million tranche and Second Tranche B Notes of €5 million, with an option to issue Second Tranche C Notes of an additional €5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August 21, 2023, we repaid all outstanding amounts that remained due under the First KC Agreement and the Second KC Agreement.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Heights Convertible Notes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August 20, 2023, we entered into the Heights Subscription Agreement with Heights. Under the Heights Subscription Agreement, we may draw up to €75 million of the Heights Convertible Notes in two tranches of €35 million and €40 million, respectively, as further described below.</w:t>
      </w:r>
    </w:p>
    <w:p>
      <w:pPr>
        <w:spacing w:after="0" w:line="146"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first tranche in aggregate principal amount of €35 million was drawn on August 24, 2023. On the same date, we repaid all amounts due under the OCEANE bonds. The Heights Convertible Notes are convertible into ordinary shares at any time from their issuance at the request of the holder at a fixed conversion price set at €23.7674, subject to standard adjustments, including anti-dilution and dividend protections.</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second tranche in aggregate principal amount of up to €40 million may be drawn during the period from the date immediately following the three-month anniversary of the issuance of the first tranche to the first-year anniversary of the issuance of the first tranche. It may be drawn in up to two separate closings.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amount available for drawdown under the second tranche will be determined based on our market capitalization (based on seven (7) of the ten</w:t>
      </w:r>
    </w:p>
    <w:p>
      <w:pPr>
        <w:spacing w:after="0" w:line="46" w:lineRule="exact"/>
        <w:rPr>
          <w:sz w:val="20"/>
          <w:szCs w:val="20"/>
          <w:color w:val="auto"/>
        </w:rPr>
      </w:pPr>
    </w:p>
    <w:p>
      <w:pPr>
        <w:ind w:left="120" w:right="80" w:hanging="4"/>
        <w:spacing w:after="0" w:line="260" w:lineRule="auto"/>
        <w:tabs>
          <w:tab w:leader="none" w:pos="4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trading days immediately preceding such drawdown) (“Average Market Capitalization”) and the average daily valued traded of our ordinary shares (“ADVT”) over the three-month period preceding the drawdown, as follows: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Average Market</w:t>
      </w:r>
    </w:p>
    <w:p>
      <w:pPr>
        <w:spacing w:after="0" w:line="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u w:val="single" w:color="auto"/>
          <w:color w:val="auto"/>
        </w:rPr>
        <w:t>Capitalization</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At least €700,000,000</w:t>
      </w:r>
    </w:p>
    <w:p>
      <w:pPr>
        <w:spacing w:after="0" w:line="1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At least €850,000,000</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At least €1,000,000,000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Cumulated Amount</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 Under Both First and</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700" w:type="dxa"/>
            <w:vAlign w:val="bottom"/>
            <w:gridSpan w:val="2"/>
            <w:vMerge w:val="restart"/>
          </w:tcPr>
          <w:p>
            <w:pPr>
              <w:jc w:val="center"/>
              <w:ind w:right="2300"/>
              <w:spacing w:after="0"/>
              <w:rPr>
                <w:sz w:val="20"/>
                <w:szCs w:val="20"/>
                <w:color w:val="auto"/>
              </w:rPr>
            </w:pPr>
            <w:r>
              <w:rPr>
                <w:rFonts w:ascii="Arial" w:cs="Arial" w:eastAsia="Arial" w:hAnsi="Arial"/>
                <w:sz w:val="14"/>
                <w:szCs w:val="14"/>
                <w:b w:val="1"/>
                <w:bCs w:val="1"/>
                <w:color w:val="auto"/>
              </w:rPr>
              <w:t>ADVT</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Second Tranches of the Heights</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gridSpan w:val="3"/>
          </w:tcPr>
          <w:p>
            <w:pPr>
              <w:jc w:val="center"/>
              <w:ind w:right="1800"/>
              <w:spacing w:after="0" w:line="195" w:lineRule="exact"/>
              <w:rPr>
                <w:sz w:val="20"/>
                <w:szCs w:val="20"/>
                <w:color w:val="auto"/>
              </w:rPr>
            </w:pPr>
            <w:r>
              <w:rPr>
                <w:rFonts w:ascii="Arial" w:cs="Arial" w:eastAsia="Arial" w:hAnsi="Arial"/>
                <w:sz w:val="18"/>
                <w:szCs w:val="18"/>
                <w:color w:val="auto"/>
                <w:w w:val="91"/>
              </w:rPr>
              <w:t>At least €900,000</w:t>
            </w:r>
          </w:p>
        </w:tc>
        <w:tc>
          <w:tcPr>
            <w:tcW w:w="2140" w:type="dxa"/>
            <w:vAlign w:val="bottom"/>
          </w:tcPr>
          <w:p>
            <w:pPr>
              <w:jc w:val="center"/>
              <w:spacing w:after="0" w:line="195" w:lineRule="exact"/>
              <w:rPr>
                <w:sz w:val="20"/>
                <w:szCs w:val="20"/>
                <w:color w:val="auto"/>
              </w:rPr>
            </w:pPr>
            <w:r>
              <w:rPr>
                <w:rFonts w:ascii="Arial" w:cs="Arial" w:eastAsia="Arial" w:hAnsi="Arial"/>
                <w:sz w:val="18"/>
                <w:szCs w:val="18"/>
                <w:color w:val="auto"/>
                <w:w w:val="89"/>
              </w:rPr>
              <w:t>€45,000,000</w:t>
            </w:r>
          </w:p>
        </w:tc>
        <w:tc>
          <w:tcPr>
            <w:tcW w:w="0" w:type="dxa"/>
            <w:vAlign w:val="bottom"/>
          </w:tcPr>
          <w:p>
            <w:pPr>
              <w:spacing w:after="0"/>
              <w:rPr>
                <w:sz w:val="1"/>
                <w:szCs w:val="1"/>
                <w:color w:val="auto"/>
              </w:rPr>
            </w:pPr>
          </w:p>
        </w:tc>
      </w:tr>
      <w:tr>
        <w:trPr>
          <w:trHeight w:val="216"/>
        </w:trPr>
        <w:tc>
          <w:tcPr>
            <w:tcW w:w="3200" w:type="dxa"/>
            <w:vAlign w:val="bottom"/>
            <w:gridSpan w:val="3"/>
          </w:tcPr>
          <w:p>
            <w:pPr>
              <w:jc w:val="center"/>
              <w:ind w:right="1800"/>
              <w:spacing w:after="0"/>
              <w:rPr>
                <w:sz w:val="20"/>
                <w:szCs w:val="20"/>
                <w:color w:val="auto"/>
              </w:rPr>
            </w:pPr>
            <w:r>
              <w:rPr>
                <w:rFonts w:ascii="Arial" w:cs="Arial" w:eastAsia="Arial" w:hAnsi="Arial"/>
                <w:sz w:val="18"/>
                <w:szCs w:val="18"/>
                <w:color w:val="auto"/>
                <w:w w:val="90"/>
              </w:rPr>
              <w:t>At least €1,250,000</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€55,000,000</w:t>
            </w:r>
          </w:p>
        </w:tc>
        <w:tc>
          <w:tcPr>
            <w:tcW w:w="0" w:type="dxa"/>
            <w:vAlign w:val="bottom"/>
          </w:tcPr>
          <w:p>
            <w:pPr>
              <w:spacing w:after="0"/>
              <w:rPr>
                <w:sz w:val="1"/>
                <w:szCs w:val="1"/>
                <w:color w:val="auto"/>
              </w:rPr>
            </w:pPr>
          </w:p>
        </w:tc>
      </w:tr>
      <w:tr>
        <w:trPr>
          <w:trHeight w:val="230"/>
        </w:trPr>
        <w:tc>
          <w:tcPr>
            <w:tcW w:w="3200" w:type="dxa"/>
            <w:vAlign w:val="bottom"/>
            <w:gridSpan w:val="3"/>
          </w:tcPr>
          <w:p>
            <w:pPr>
              <w:jc w:val="center"/>
              <w:ind w:right="1800"/>
              <w:spacing w:after="0"/>
              <w:rPr>
                <w:sz w:val="20"/>
                <w:szCs w:val="20"/>
                <w:color w:val="auto"/>
              </w:rPr>
            </w:pPr>
            <w:r>
              <w:rPr>
                <w:rFonts w:ascii="Arial" w:cs="Arial" w:eastAsia="Arial" w:hAnsi="Arial"/>
                <w:sz w:val="18"/>
                <w:szCs w:val="18"/>
                <w:color w:val="auto"/>
                <w:w w:val="90"/>
              </w:rPr>
              <w:t>At least €1,500,000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€65,000,000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-410845</wp:posOffset>
            </wp:positionV>
            <wp:extent cx="699516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-136525</wp:posOffset>
            </wp:positionV>
            <wp:extent cx="699516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5960"/>
          </w:cols>
          <w:pgMar w:left="320" w:top="459" w:right="459" w:bottom="1440" w:gutter="0" w:footer="0" w:header="0"/>
          <w:type w:val="continuous"/>
        </w:sectPr>
      </w:pPr>
    </w:p>
    <w:p>
      <w:pPr>
        <w:spacing w:after="0" w:line="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Interest on the Heights Convertible Notes accrues annually at a rate of 6% payable in quarterly installments in cash or, at our option, in ordinary shares.</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Heights Convertible Notes will be repaid through sixteen quarterly installment payments, beginning three months after their issuance date (corresponding, for the first tranche, to a final repayment date on August 24, 2027). Installments are payable in cash or, at our option, in ordinary shares.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interest or installment payments in shares will be made on the basis of a share price equal to 90% of the Market Price of our ordinary shares at the time of payment. “Market Price” refers to the arithmetic average of the daily VWAP for our ordinary shares on the two (2) days with the lowest daily VWAPs out of the five (5) trading days immediately preceding the applicable date, but in no event greater than the VWAP of our ordinary shares on the applicable date. The Market Price may not be higher than the applicable conversion price. Issuances of ordinary shares may not be made at a price lower than a 15% discount to the 15-day VWAP at the time of the decision to issue the Heights Convertible Notes (i.e., €14.4303 per ordinary share for the first tranche).</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Upon the occurrence of certain events (including a change of control of Abivax, a free float event or a delisting of our ordinary shares on Euronext Paris), any noteholder will have the option to require us to redeem all, and no less than all, of its Heights Convertible Notes at par plus accrued but unpaid interest. In the event that our ordinary shares are targeted by a public offer (in cash or in securities, in cash and securities, etc.) which may result in a change of control or filed following a change of control, upon conversion of the Heights Convertible Notes, we shall (i) deliver new ordinary shares at the conversion price, and (ii) pay a cash amount equal to the sum of the remaining coupons scheduled until the maturity date, and any accrued interest.</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terms and conditions of the Heights Convertible Notes include a standard negative pledge providing that any security granted in favor of other borrowed debt or debt instruments should also be granted in favor of the Heights Convertible Notes on an equal basis (with the exception of the securities issued pursuant to the Kreos / Claret Financing, as described above).</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Heights Financing is a senior, unsecured financing. The convertible bonds of the Heights Financing will not be listed on any market. The agreements relating to the Heights Financing are governed by French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OCEANE Bonds</w:t>
      </w:r>
    </w:p>
    <w:p>
      <w:pPr>
        <w:spacing w:after="0" w:line="11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July 30, 2021, we issued €25 million 6% convertible senior unsecured and unsubordinated bonds due July 30, 2026 corresponding to 654,621 OCEANE bonds. The OCEANE bonds were exchangeable, at the option of the bondholders, for new or existing shares and bear interest at a rate of 6% per annum, payable semi-annually on January 30 and July 30 of each year, beginning January 30, 2022. On August 24, 2023, we repaid all amounts due under the OCEANE bonds.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31, 2022, we issued €2.9 million in royalty certificates (the “Royalty Certificates”).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terms and conditions of the Royalty Certificates provide holders with the right to royalties equal to 2% of the future net sales of obefazimod (worldwide and for all indications) following its commercialization. The amount of royalties that may be paid under the Royalty Certificates is capped at €172 million (the “Royalty Cap”). The Royalty Certificates do not provide for any dividend rights, coupon payments or any other additional financial rights other than the right to royalties. In particular, the Royalty Certificates do not grant any financial rights in respect of any other products that may be developed by us beyond obefazimod.</w:t>
      </w:r>
    </w:p>
    <w:p>
      <w:pPr>
        <w:spacing w:after="0" w:line="18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Royalty Certificates have a term of 15 years and do not provide for an accelerated repayment in case of a change of control. We may at any time repay the Royalty Certificates in full by paying an amount equal to the Royalty Cap minus any royalties paid prior to such reimbursement. The Royalty Certificates are subject to a one-year lock-up, after which they will become freely transferable by each holder thereof in whole, but not in part. The Royalty Certificates are not listed nor assigned an ISIN.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Purchase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Prosynergia S.à.r.L.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April 1, 2022, we entered into a share purchase agreement pursuant to which we acquired 100% of the capital and voting rights of Prosynergia S.à.r.L, a Luxembourg biotech company, registered in the Luxembourg Trade and Companies Register under no. B257479, with registered offices located at 241 route de Longwy – 1941 Luxembourg City, Luxembourg for consideration of €3.25 million (the “Prosynergia Agreement”).</w:t>
      </w:r>
    </w:p>
    <w:p>
      <w:pPr>
        <w:spacing w:after="0" w:line="14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On December 1, 2021, we granted a loan to Prosynergia, for €1,400,000. On December 12, 2022, we completed a merger with Prosynergia through a </w:t>
      </w:r>
      <w:r>
        <w:rPr>
          <w:rFonts w:ascii="Arial" w:cs="Arial" w:eastAsia="Arial" w:hAnsi="Arial"/>
          <w:sz w:val="18"/>
          <w:szCs w:val="18"/>
          <w:i w:val="1"/>
          <w:iCs w:val="1"/>
          <w:color w:val="auto"/>
        </w:rPr>
        <w:t>Transmission Universelle du Patrimoine</w:t>
      </w:r>
      <w:r>
        <w:rPr>
          <w:rFonts w:ascii="Arial" w:cs="Arial" w:eastAsia="Arial" w:hAnsi="Arial"/>
          <w:sz w:val="18"/>
          <w:szCs w:val="18"/>
          <w:color w:val="auto"/>
        </w:rPr>
        <w:t xml:space="preserve"> (“TUP”) and all of Prosynergia’s assets and liabilities were transferred to us. Following the merger, Prosynergia was dissolved. See Note 4.15 to our audited financial statements as of and for the years ended December 31, 2021 and 2022 included elsewhere in this prospectus for further detail.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Research and Development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IQVIA Master Services Agreement</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On December 17, 2018, we entered into a master services agreement with IQVIA Ltd (“IQVIA”) for the provision of clinical trial services, research and other services for individual clinical trials on human beings (the “IQVIA Master Services Agreement”), as amended on September 9, 2022.</w:t>
      </w:r>
    </w:p>
    <w:p>
      <w:pPr>
        <w:spacing w:after="0" w:line="124"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Pursuant to the IQVIA Master Services Agreement and underlying Work Order, IQVIA agreed to perform certain services on our behalf as we request, subject to IQVIA’s acceptance of the services and related budget in the applicable Work Order, including, but not limited to, strategic planning, expert consultation, clinical trial services, statistical programming and analysis, data processing, data management, regulatory, project management, pharmacovigilance, central laboratory services, clinical pharmacology services, electrocardiogram services and device services. In consideration therefore, we agreed to pay IQVIA an agreed set of fees based on our requests, as set forth in the applicable Work Order. We have the right to terminate the IQVIA Master Services Agreement or requested work without cause and at any time upon 45 days’ written notice. We and IQVIA each have the right to terminate the IQVIA Master Services Agreement in the event of a breach by the other party, if such breach has not been substantially cured within the 30-day period. We have the right to terminate the IQVIA Master Services Agreement and/or any Work Order with immediate effect by written notice and without any liability whatsoever in case IQVIA becomes debarred.</w:t>
      </w:r>
    </w:p>
    <w:p>
      <w:pPr>
        <w:spacing w:after="0" w:line="18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IQVIA Master Services Agreement and a study specific Work Order executed with IQVIA, IQVIA is responsible for coordinating our Phase 3 clinical trial for obefazimod in moderately to severely active UC.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2022, €12.2 million in undiscounted advance payments to IQVIA had been paid in connection with the IQVIA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to be recovered at the end of the relevant studies (i.e., between April 2025 and July 2026).</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Evotec Drug Discovery Services Agreement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September 1, 2017, we entered into a drug discovery services agreement with Evotec International GmbH (“Evotec”), pursuant to which Evotec provides drug discovery services to us, in order to have optimized leads obtained for various viral indications for further developments within the context of a global collaborative program and to any further development programs under which we would require the assistance of Evotec in the provision of services (the “Evotec Drug Discovery Services Agreement”). Under the Evotec Drug Discovery Services Agreement, Evotec must provide its services in accordance with common industry standard of current established practices by suitably qualified staff, using equipment in an agreed premises, under allocated timelines agreed between the parties and in compliance with all relevant legislation. Evotec may not subcontract its obligations to us other than to an affiliate without our express prior written consent.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consideration for services provided, we are required to pay Evotec an agreed set of fees as agreed in the relevant project description relating to such services. As of June 30, 2023, we have paid €7.6 million to Evotec, and no amounts were received as of such date. The total maximum amount that could be payable by us to Evotec under work orders in effect as of end of August 2023 is €0.9 million. To the extent additional projects are completed under the agreement, additional amounts may be payable to Evotec, but they are not determinable as of the date of this prospectus. We own, and Evotec assigns to us to the extent permissible under applicable law, all intellectual property rights conceived, discovered, invented or made by Evotec in connection with the provision of drug discovery services. No milestone payments or royalties are payable pursuant to the Evotec Drug Discovery Services Agreement. No drug candidate has currently been discovered pursuant to this agreement.</w:t>
      </w:r>
    </w:p>
    <w:p>
      <w:pPr>
        <w:spacing w:after="0" w:line="16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the right to terminate Evotec Drug Discovery Services Agreement or any project without cause at any time upon 60 days’ written notice. We and Evotec each have the right to terminate any ongoing project upon 20 days’ written notice for a breach by the other party, if such breach has not been remedied within the 20-day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Delpharm Agreement</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November 24, 2016, we entered into a manufacturing agreement with Delpharm Lille S.A.S. (“Delpharm”), pursuant to which Delpharm produces batches of capsules containing obefazimod required to carry out clinical trials (the “Delpharm Agreement”). The Delpharm Agreement renews automatically for successive periods of one year until either party notifies the other of its intention not to renew the agreement. The agreement is still in effect on the date hereof. Either party may terminate the agreement upon serious breach or a serious non-execution of the agreement by the other party. Abivax may also terminate the Delpharm Agreement at any time, subject to certain reimbursement obligations to Delpharm.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Seqens Agreement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March 11, 2016, we entered into a clinical batch development and production agreement with “Produits Chimiques Auxiliaires et de Synthèse” (“Seqens”), under which Seqens provides services relating to the development and production of active ingredients, including obefazimod (the “Seqens Agreement”). The Seqens Agreement was amended on March 2, 2021, in connection with our UC Phase 3 clinical trials. In accordance with the Seqens Agreement, in consideration for services provided, we are required to pay Seqens an agreed set of fees as agreed in the relevant Work Order.</w:t>
      </w:r>
    </w:p>
    <w:p>
      <w:pPr>
        <w:spacing w:after="0" w:line="15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Seqens Agreement remains in full force and effect until the earlier of (i) the execution of an agreement for the commercial manufacturing by Seqens of obefazimod under Phase IV, such agreement to be negotiated between Seqens and us in good faith, (ii) the failure to reach such a Phase IV agreement or (iii) the failure to obtain all marketing approval by the FDA and other relevant regulators in Europe.</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According to the Seqens Agreement, either party may terminate the agreement in the event of the other party’s failure to perform one or more of its obligations. This termination shall only become effective one month after the issuance by the complaining party of a registered letter with acknowledgement of receipt setting out the reasons for the complaint, unless within this period the defaulting party has fulfilled its obligations or has provided proof of an impediment due to force majeure. The termination may take effect without delay by simple written notification in case of fraud or intentional fault by the party in default.</w:t>
      </w:r>
    </w:p>
    <w:p>
      <w:pPr>
        <w:spacing w:after="0" w:line="188"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According to the Seqens Agreement, we have the right to postpone or terminate any pending work at any time upon 30 days prior written notice, subject to payment to Seqens of the sums due in proportion to the actual progress of the work on the day of receipt by Seqens of its notification, as well as any costs incurred prior to such receipt by Seqens that would be non-revocable and not subject to reallocation within a reasonable time.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State-Guaranteed Loan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On June 11, 2020, we obtained non-dilutive financing from Société Générale in the form of a €5 million State-guaranteed loan (the “State-guaranteed loan”). The State-guaranteed loan had an initial duration of 12 months (subject to a five-year extension option) and accrues interest at a rate of 0.25% with repayment of principal falling due in June 2021. The State-guaranteed loan was immediately made available to us in June 2020. In March 2021, we entered into an amendment to the State-guaranteed loan, which extended the repayment date of the State- guaranteed loan by five years until June 2026 with a one-year deferral of principal repayment, with the following conditions: (i) a revised interest rate of 0.58% per annum, excluding insurance and State-guaranteed premium; and (ii) a State-guaranteed premium of €0.1 million to be paid by instalments over the contract period starting in June 2021. The State-guaranteed loan includes certain customary covenants and prepayment provisions, as well as a negative covenant restricting the disposal of assets representing more than 50% of the gross value of our fixed assets.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Royalties Agreement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December 18, 2008, we entered into an agreement with (i) the CNRS, (ii) the University of Montpellier, and (iii) the Institut Curie, which sets out financial conditions under which we can use any intellectual property rights and research results derived from certain research collaboration programs we had with the CNRS, the University of Montpellier, and the Institut Curie and which have now been terminated (the “Royalties Agreement”).</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Royalties Agreement, the CNRS and the Institut Curie are entitled to receive milestone payments, as well as royalty payments on global net sales of products using the intellectual property rights and research results jointly developed with them (including obefazimod) (each, a “Qualifying Product”). The amounts of the milestone payments for each Qualifying Product are limited and not material compared to the amount of the expected royalties.</w:t>
      </w:r>
    </w:p>
    <w:p>
      <w:pPr>
        <w:spacing w:after="0" w:line="187" w:lineRule="exact"/>
        <w:rPr>
          <w:sz w:val="20"/>
          <w:szCs w:val="20"/>
          <w:color w:val="auto"/>
        </w:rPr>
      </w:pPr>
    </w:p>
    <w:p>
      <w:pPr>
        <w:jc w:val="both"/>
        <w:ind w:left="120" w:right="740" w:firstLine="440"/>
        <w:spacing w:after="0" w:line="263" w:lineRule="auto"/>
        <w:rPr>
          <w:sz w:val="20"/>
          <w:szCs w:val="20"/>
          <w:color w:val="auto"/>
        </w:rPr>
      </w:pPr>
      <w:r>
        <w:rPr>
          <w:rFonts w:ascii="Arial" w:cs="Arial" w:eastAsia="Arial" w:hAnsi="Arial"/>
          <w:sz w:val="18"/>
          <w:szCs w:val="18"/>
          <w:color w:val="auto"/>
        </w:rPr>
        <w:t>In case we commercialize directly a Qualifying Product (either (i) implementing the jointly developed patents and the jointly developed know-how or (ii) only implementing the jointly developed know-how), royalties due under the Royalties Agreement are in the low single-digit percentages subject to an annual minimum.</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the event we commercialize a Qualifying Product by way of a license granted to a third-party, we may elect (i) to pay royalties calculated in the same manner as if we were commercializing the Qualifying Product directly, or (ii) to pay royalties (high single-digit to low double-digit percentages) calculated based on the revenues we receive under the license granted to the third-party. We must notify the CNRS regarding which royalty amount we elect to pay at the same time that the third-party grants the license.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avoidance of doubt, the Royalties Agreement does not include any cap on the total payments which may be due by us under such Royalties Agreement.</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Royalties Agreement survives until the expiration of the underlying intellectual property rights (without any termination rights to either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We sublease approximately 765 m² of office space and three parking spaces at 7-11 boulevard Haussmann, 75009 Paris, France, for our headquarters and other administrative functions. The sublease agreement has been entered into for a period of three years expiring on June 21, 2025. Unless terminated by either party, it will be automatically renewed for additional successive periods of one year. The sublease of these facilities may, subject to certain restrictions provided by law, be terminated by us or by the lessor from June 30, 2024, subject to nine months’ prior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written notice. Furthermore, the sublease will automatically terminate in the event of the early termination of the head lease (which expires on June 30, 2027). We believe that our facilities are sufficient to meet our current needs and that suitable additional space will be available in the future on commercially reasonable terms, if required.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As of June 30, 2023, we had 34 full-time employees, consisting of 18 employees within the research and development department, six employees within the commercial, marketing and market access department, and 10 employees within the general administrative department. Our employees based in France are subject to the national collective bargaining agreement for the pharmaceutical industry (the </w:t>
      </w:r>
      <w:r>
        <w:rPr>
          <w:rFonts w:ascii="Arial" w:cs="Arial" w:eastAsia="Arial" w:hAnsi="Arial"/>
          <w:sz w:val="18"/>
          <w:szCs w:val="18"/>
          <w:i w:val="1"/>
          <w:iCs w:val="1"/>
          <w:color w:val="auto"/>
        </w:rPr>
        <w:t>convention collective nationale de l’industrie</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pharmaceutique</w:t>
      </w:r>
      <w:r>
        <w:rPr>
          <w:rFonts w:ascii="Arial" w:cs="Arial" w:eastAsia="Arial" w:hAnsi="Arial"/>
          <w:sz w:val="18"/>
          <w:szCs w:val="18"/>
          <w:color w:val="auto"/>
        </w:rPr>
        <w:t>). We believe that we maintain good relations with our employees. A majority of our future planned hires are expected to be residing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2023, 25 full-time employees were based in France and nine full-time employees were based in the United States.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From time-to-time, we may be a party to legal, administrative or arbitration proceedings arising in the ordinary course of our business.</w:t>
      </w:r>
    </w:p>
    <w:p>
      <w:pPr>
        <w:spacing w:after="0" w:line="23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As of the date of this prospectus, we are not a party to any material legal, administrative or arbitration proceedings that, if determined adversely to us, would individually or taken together have a material adverse effect on our business, financial condition, results of operations or cash flows.</w:t>
      </w:r>
    </w:p>
    <w:p>
      <w:pPr>
        <w:spacing w:after="0" w:line="12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Regardless of the outcome, litigation can have an adverse impact on us because of defense and settlement costs, diversion of management resources and other factors.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right="5080"/>
        <w:spacing w:after="0" w:line="377" w:lineRule="auto"/>
        <w:rPr>
          <w:sz w:val="20"/>
          <w:szCs w:val="20"/>
          <w:color w:val="auto"/>
        </w:rPr>
      </w:pPr>
      <w:r>
        <w:rPr>
          <w:rFonts w:ascii="Arial" w:cs="Arial" w:eastAsia="Arial" w:hAnsi="Arial"/>
          <w:sz w:val="18"/>
          <w:szCs w:val="18"/>
          <w:b w:val="1"/>
          <w:bCs w:val="1"/>
          <w:color w:val="auto"/>
        </w:rPr>
        <w:t>Governing, Management and Supervisory Bodies and Executive management Executive Officers and Directors</w:t>
      </w:r>
    </w:p>
    <w:p>
      <w:pPr>
        <w:spacing w:after="0" w:line="2"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The following table sets forth the name, age and position of each of our executive officers and directors as of August 31, 2023. The business address of our executive officers and directors is our principal executive offices located at 7-11 boulevard Haussmann, 75009 Paris, France.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Age</w:t>
            </w:r>
          </w:p>
        </w:tc>
        <w:tc>
          <w:tcPr>
            <w:tcW w:w="5480" w:type="dxa"/>
            <w:vAlign w:val="bottom"/>
          </w:tcPr>
          <w:p>
            <w:pPr>
              <w:ind w:left="240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18"/>
                <w:szCs w:val="18"/>
                <w:color w:val="auto"/>
              </w:rPr>
            </w:pP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Marc de Garidel</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5480" w:type="dxa"/>
            <w:vAlign w:val="bottom"/>
          </w:tcPr>
          <w:p>
            <w:pPr>
              <w:spacing w:after="0"/>
              <w:rPr>
                <w:sz w:val="20"/>
                <w:szCs w:val="20"/>
                <w:color w:val="auto"/>
              </w:rPr>
            </w:pPr>
            <w:r>
              <w:rPr>
                <w:rFonts w:ascii="Arial" w:cs="Arial" w:eastAsia="Arial" w:hAnsi="Arial"/>
                <w:sz w:val="18"/>
                <w:szCs w:val="18"/>
                <w:color w:val="auto"/>
              </w:rPr>
              <w:t>Chief Executive Officer and Director, Chairman of the Board</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Blondel</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Board Secretary</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Sheldon Sloan</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54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Ferguson</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Pierre Courteille</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55</w:t>
            </w:r>
          </w:p>
        </w:tc>
        <w:tc>
          <w:tcPr>
            <w:tcW w:w="548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Scherrer</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108"/>
        </w:trPr>
        <w:tc>
          <w:tcPr>
            <w:tcW w:w="4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80" w:type="dxa"/>
            <w:vAlign w:val="bottom"/>
          </w:tcPr>
          <w:p>
            <w:pPr>
              <w:spacing w:after="0"/>
              <w:rPr>
                <w:sz w:val="9"/>
                <w:szCs w:val="9"/>
                <w:color w:val="auto"/>
              </w:rPr>
            </w:pPr>
          </w:p>
        </w:tc>
      </w:tr>
      <w:tr>
        <w:trPr>
          <w:trHeight w:val="202"/>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Lee</w:t>
            </w:r>
          </w:p>
        </w:tc>
        <w:tc>
          <w:tcPr>
            <w:tcW w:w="7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57</w:t>
            </w: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Independent Director, Chair of the Appointments and Compensation</w:t>
            </w:r>
          </w:p>
        </w:tc>
      </w:tr>
      <w:tr>
        <w:trPr>
          <w:trHeight w:val="230"/>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Committee</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Troy Ignelzi</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55</w:t>
            </w:r>
          </w:p>
        </w:tc>
        <w:tc>
          <w:tcPr>
            <w:tcW w:w="5480" w:type="dxa"/>
            <w:vAlign w:val="bottom"/>
          </w:tcPr>
          <w:p>
            <w:pPr>
              <w:spacing w:after="0"/>
              <w:rPr>
                <w:sz w:val="20"/>
                <w:szCs w:val="20"/>
                <w:color w:val="auto"/>
              </w:rPr>
            </w:pPr>
            <w:r>
              <w:rPr>
                <w:rFonts w:ascii="Arial" w:cs="Arial" w:eastAsia="Arial" w:hAnsi="Arial"/>
                <w:sz w:val="18"/>
                <w:szCs w:val="18"/>
                <w:color w:val="auto"/>
              </w:rPr>
              <w:t>Independent Director, Chair of the Audit Committee</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Corinna zur Bonsen-Thomas</w:t>
            </w:r>
          </w:p>
        </w:tc>
        <w:tc>
          <w:tcPr>
            <w:tcW w:w="7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64</w:t>
            </w: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Independent Director, Member of the Audit Committee and the</w:t>
            </w: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Appointments and Compensation Committee</w:t>
            </w:r>
          </w:p>
        </w:tc>
      </w:tr>
      <w:tr>
        <w:trPr>
          <w:trHeight w:val="202"/>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Kinam Hong (Sofinnova Partners)</w:t>
            </w:r>
          </w:p>
        </w:tc>
        <w:tc>
          <w:tcPr>
            <w:tcW w:w="7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50</w:t>
            </w: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 Member of the Audit Committee and the Appointments and</w:t>
            </w:r>
          </w:p>
        </w:tc>
      </w:tr>
      <w:tr>
        <w:trPr>
          <w:trHeight w:val="230"/>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Paolo Rampulla (Santé Holdings SRL)</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Pouletty (Truffle Capital)</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Director, Member of the Appointments and 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Independence criteria assessed in accordance with the definition provided in the Middlenext Code of Corporate Governance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3"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color w:val="auto"/>
        </w:rPr>
        <w:t xml:space="preserve">Marc de Garidel </w:t>
      </w:r>
      <w:r>
        <w:rPr>
          <w:rFonts w:ascii="Arial" w:cs="Arial" w:eastAsia="Arial" w:hAnsi="Arial"/>
          <w:sz w:val="17"/>
          <w:szCs w:val="17"/>
          <w:color w:val="auto"/>
        </w:rPr>
        <w:t>has been our Chief Executive Officer and Chairman of the Board since May 5, 2023 and has more than 40 years of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pharmaceutical and biotechnology sector, including 12 years of experience as Chief Executive Officer of pharmaceutical and biotechnology companies. Between July 2021 and April 2023, he served as Chief Executive Officer of CinCor Pharma and led its successful sale for up to $1.8 billion, subject to the achievement of certain milestones, to AstraZeneca in February 2023. Between September 2020 and May 2021, Mr. de Garidel served as Chief Executive Officer of AZTherapies. From April 2018 until August 2020, he was Chief Executive Officer of Corvidia Therapeutics and led its sale to Novo Nordisk for $2.1 billion in total consideration. Mr. de Garidel was the Chief Executive Officer of Ipsen between November 2010 and July 2016, overseeing the development of its U.S. presence. Prior to that, he worked for Amgen and Eli Lilly in jobs of increasing responsibilities and in various markets, including the United States and Europe. Mr. de Garidel has served as chairman of the board of directors of Ipsen since 2010 and has been a member of the board of directors of Claris Bio since 2020. He holds a degree in Civil Engineering from the Ecole des Travaux Publics in Paris, a Master’s degree in International Management from Thunderbird Global School Management and an executive MBA from Harvard Business School. We believe that Mr. de Garidel is qualified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serve on our Board because of his experience as an executive and member of the boards of companies in the life sciences industry.</w:t>
      </w:r>
    </w:p>
    <w:p>
      <w:pPr>
        <w:spacing w:after="0" w:line="2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 xml:space="preserve">Didier Blondel </w:t>
      </w:r>
      <w:r>
        <w:rPr>
          <w:rFonts w:ascii="Arial" w:cs="Arial" w:eastAsia="Arial" w:hAnsi="Arial"/>
          <w:sz w:val="16"/>
          <w:szCs w:val="16"/>
          <w:color w:val="auto"/>
        </w:rPr>
        <w:t>has been our Chief Financial Officer and Board Secretary since January 2017. From January 2012 to December 2016, he was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at Sanofi Pasteur MSD, a Lyon-based joint-venture between Sanofi and Merck and a European leader in human vaccines. Prior to that, over a 20-year period, Mr. Blondel held a wide range of senior finance positions at Sanofi, in Commercial Operations and then research and development, where he became global research and development Chief Financial Officer. He started his career as an auditor at PricewaterhouseCoopers, after graduating with a Master’s degree in Business and Administration from the Commercial Institute of Nancy, a leading French business school.</w:t>
      </w:r>
    </w:p>
    <w:p>
      <w:pPr>
        <w:spacing w:after="0" w:line="2" w:lineRule="exact"/>
        <w:rPr>
          <w:sz w:val="20"/>
          <w:szCs w:val="20"/>
          <w:color w:val="auto"/>
        </w:rPr>
      </w:pPr>
    </w:p>
    <w:p>
      <w:pPr>
        <w:ind w:left="120" w:right="800"/>
        <w:spacing w:after="0" w:line="260" w:lineRule="auto"/>
        <w:rPr>
          <w:sz w:val="20"/>
          <w:szCs w:val="20"/>
          <w:color w:val="auto"/>
        </w:rPr>
      </w:pPr>
      <w:r>
        <w:rPr>
          <w:rFonts w:ascii="Arial" w:cs="Arial" w:eastAsia="Arial" w:hAnsi="Arial"/>
          <w:sz w:val="18"/>
          <w:szCs w:val="18"/>
          <w:color w:val="auto"/>
        </w:rPr>
        <w:t>Mr. Blondel also holds a Master’s degree in Finance and Accounting from Nancy II University, as well as a Graduate Diploma in Finance and Accounting.</w:t>
      </w:r>
    </w:p>
    <w:p>
      <w:pPr>
        <w:spacing w:after="0" w:line="181"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b w:val="1"/>
          <w:bCs w:val="1"/>
          <w:color w:val="auto"/>
        </w:rPr>
        <w:t xml:space="preserve">Sheldon Sloan </w:t>
      </w:r>
      <w:r>
        <w:rPr>
          <w:rFonts w:ascii="Arial" w:cs="Arial" w:eastAsia="Arial" w:hAnsi="Arial"/>
          <w:sz w:val="16"/>
          <w:szCs w:val="16"/>
          <w:color w:val="auto"/>
        </w:rPr>
        <w:t>has been our Chief Medical Officer since March 2023. He has over 30 years of experience in academia and the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with an extensive track record in the field of gastroenterology and IBD. From March 2022 to January 2023, Dr. Sloan was Program Lead for etrasimod UC at Pfizer. From November 2019 to March 2022, Dr. Sloan worked for Arena Pharmaceuticals. Between September 1997 and October 2019, Dr. Sloan held different leadership positions at Johnson and Johnson in Medical Affairs, Research and Development, and Science Policy, including Global Medical Affairs Leader for IBD, leading the global launch strategy and execution for CD and UC for Stelara. He holds a Doctor of Medicine from Rush Medical College, Chicago and a Master of Bioethics from the University of Pennsylvania.</w:t>
      </w:r>
    </w:p>
    <w:p>
      <w:pPr>
        <w:spacing w:after="0" w:line="160"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Michael Ferguson </w:t>
      </w:r>
      <w:r>
        <w:rPr>
          <w:rFonts w:ascii="Arial" w:cs="Arial" w:eastAsia="Arial" w:hAnsi="Arial"/>
          <w:sz w:val="18"/>
          <w:szCs w:val="18"/>
          <w:color w:val="auto"/>
        </w:rPr>
        <w:t>has been our Chief Commercial Officer since April 2023. He has over 22 years of experience in the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with an extensive track record in the field of Gastroenterology (GI) and IBD. From August 2019 through May 2022, Mr. Ferguson served as Vice President Global Commercial Marketing and Planning and specifically as Global Commercial Lead for etrasimod across all GI Indications at Arena Pharmaceuticals. From March 2007 to August 2019, he held various leading commercial leadership positions at Shire/Takeda. Mr. Ferguson holds both a B.S. and an MBA in Finance from the Pennsylvania State University as well as a post graduate degree in Pharmaceutical Marketing from St. Joseph’s University, Philadelphia.</w:t>
      </w:r>
    </w:p>
    <w:p>
      <w:pPr>
        <w:spacing w:after="0" w:line="187" w:lineRule="exact"/>
        <w:rPr>
          <w:sz w:val="20"/>
          <w:szCs w:val="20"/>
          <w:color w:val="auto"/>
        </w:rPr>
      </w:pPr>
    </w:p>
    <w:p>
      <w:pPr>
        <w:ind w:left="120" w:right="60" w:firstLine="440"/>
        <w:spacing w:after="0" w:line="292" w:lineRule="auto"/>
        <w:rPr>
          <w:sz w:val="20"/>
          <w:szCs w:val="20"/>
          <w:color w:val="auto"/>
        </w:rPr>
      </w:pPr>
      <w:r>
        <w:rPr>
          <w:rFonts w:ascii="Arial" w:cs="Arial" w:eastAsia="Arial" w:hAnsi="Arial"/>
          <w:sz w:val="16"/>
          <w:szCs w:val="16"/>
          <w:b w:val="1"/>
          <w:bCs w:val="1"/>
          <w:color w:val="auto"/>
        </w:rPr>
        <w:t xml:space="preserve">Pierre Courteille </w:t>
      </w:r>
      <w:r>
        <w:rPr>
          <w:rFonts w:ascii="Arial" w:cs="Arial" w:eastAsia="Arial" w:hAnsi="Arial"/>
          <w:sz w:val="16"/>
          <w:szCs w:val="16"/>
          <w:color w:val="auto"/>
        </w:rPr>
        <w:t>has been our Chief Business Officer since May 2023. Prior to this appointment, he served as our Chief Commercial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Business Development. Mr. Courteille has over 25 years of experience in marketing, sales and business development within the pharmaceutical industry (13 years based in Japan). Prior to joining us in April 2015, he was Senior VP sales and marketing for Guerbet as well as Chief Executive Officer of MEDEX (medical devices company owned by Guerbet) from 2012. From 2009, Mr. Courteille served as VP Sales for Asia, Latin America and EMEA and met the ambitious objective of optimizing commercial performance across these three regions. As President of Guerbet Japan and VP for Guerbet Asia, Mr. Courteille has successfully managed the roll-out of its Japanese subsidiary and led the development of other branches in Asia. Mr. Courteille holds a pharmacy degree and MBA (with Honors) from The University of Chicago Booth School of Business.</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color w:val="auto"/>
        </w:rPr>
        <w:t xml:space="preserve">Didier Scherrer </w:t>
      </w:r>
      <w:r>
        <w:rPr>
          <w:rFonts w:ascii="Arial" w:cs="Arial" w:eastAsia="Arial" w:hAnsi="Arial"/>
          <w:sz w:val="18"/>
          <w:szCs w:val="18"/>
          <w:color w:val="auto"/>
        </w:rPr>
        <w:t>has been our Chief Scientific Officer since August 2023. Prior to this appointment, he served as our Vice President of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Development. Mr. Scherrer has extensive experience in the development of a portfolio of therapeutics in oncology, viral diseases and autoimmune / inflammatory diseases. Prior to joining our company in March 2009, he performed a combined role of Chief Executive Officer and Scientific Director at Splicos from September 2009. He also has experience from prior roles as Associate Director (Capability Pathways – Discovery Enabling Capabilities and Sciences) of the Research Department of AstraZeneca and as Head of Research at LFB Biotechnologies. Mr. Scherrer has a Ph.D. in Molecular Pharmacology from Université Louis Pasteur (Strasbourg I). He completed his post-doctoral studies at Harvard Medical School and then at the Stanford University School of Medicine.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June Lee </w:t>
      </w:r>
      <w:r>
        <w:rPr>
          <w:rFonts w:ascii="Arial" w:cs="Arial" w:eastAsia="Arial" w:hAnsi="Arial"/>
          <w:sz w:val="16"/>
          <w:szCs w:val="16"/>
          <w:color w:val="auto"/>
        </w:rPr>
        <w:t>has been one of our independent directors since July 2023. Dr. Lee has served as a venture partner at 5AM Venture Management, LLC</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2022. Dr. Lee was most recently Founder and Chief Executive Officer of Esker Therapeutics until September 2021. Dr. Lee previously served as the Executive Vice President and Chief Development Officer of MyoKardia, Inc. from January 2019 to June 2020, and was the Chief Operating Officer from February 2017 until January 2019, and the Chief Development Officer from October 2017 to January 2019. From April 2011 until February 2017, Dr. Lee served on the faculty of the University of California, San Francisco, or UCSF, where she was director of the Catalyst program at the Clinical and Translational Science Institute and a professor in the School of Medicine, and was responsible for overall strategy and operations for enabling and supporting translational research at the university. Catalyst is an internal UCSF accelerator for therapeutics, devices, diagnostics, and digital health technologies. Prior to UCSF, Dr. Lee was a disease area lead, early clinical development, at Genentech, Inc. from 2006 to 2011, where she was responsible for all strategy and activities as well as management of staff, budget, and resource allocation in the early clinical development group in multiple therapeutic areas. Dr. Lee served as a Medical Director in the clinical development group at Genentech, Inc. from 2004 to 2006, where she was responsible for clinical activities for licensed product of the company. She currently serves on Johns Hopkins University Center for Therapeutic Translation’s Advisory Board, serves on the board of directors of Tenaya Therapeutics Inc, Eledon Pharmaceuticals Inc. and GenEdit, is a member of the Scientific Advisory Board for Foresite Labs, and previously served as a member of the board of directors of CinCor Pharma, Inc. Dr. Lee holds a B.A. in chemistry from Johns Hopkins University and an M.D. from the University of California, Davis. We believe that Dr. Lee is qualified to serve on our Board because of her experience as an investor and member of the boards of companies in the life sciences industry.</w:t>
      </w:r>
    </w:p>
    <w:p>
      <w:pPr>
        <w:spacing w:after="0" w:line="14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color w:val="auto"/>
        </w:rPr>
        <w:t xml:space="preserve">Troy Ignelzi </w:t>
      </w:r>
      <w:r>
        <w:rPr>
          <w:rFonts w:ascii="Arial" w:cs="Arial" w:eastAsia="Arial" w:hAnsi="Arial"/>
          <w:sz w:val="17"/>
          <w:szCs w:val="17"/>
          <w:color w:val="auto"/>
        </w:rPr>
        <w:t>has been one of our independent directors since July 2023. Mr. Ignelzi has served as the Chief Financial Officer of Karuna</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Inc. since March 2019. Prior to that, Mr. Ignelzi was the Chief Financial Officer of scPharmaceuticals Inc. from March 2016 to February 2019, and provided consulting services to scPharmaceuticals Inc. in February and March 2016. Mr. Ignelzi previously served as Chief Financial Officer and as a member of the executive leadership teams at Juventas Therapeutics Inc., a privately held biotechnology company, from October 2014 to February 2016. From October 2013 to October 2014, Mr. Ignelzi served as Senior Vice President—Operations and Business Development of Pharmalex GmbH. Prior to Pharmalex, Mr. Ignelzi was Vice President—Business Development at Esperion Therapeutics, Inc., a public pharmaceutical company, from January 2009 to September 2013. Mr. Ignelzi served as Vice President, Business Development &amp; Strategic Planning at Insys Therapeutics, Inc., a specialty pharmaceutical company, from February 2007 to February 2009. Previously, Mr. Ignelzi had served as a specialty senior sales representative at Eli Lilly from February 2002 to August 2005. Mr. Ignelzi currently serves as a member of the board of directors of Vedanta Biosciences, Inc. and previously served as a member of the board of directors of CinCor Pharma, Inc. Mr. Ignelzi has a B.S. in accounting from Ferris State University. We believe that Mr. Ignelzi is qualified to serve on our Board because of his experience as an executive and member of the boards of companies in the life sciences industry.</w:t>
      </w:r>
    </w:p>
    <w:p>
      <w:pPr>
        <w:spacing w:after="0" w:line="138"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b w:val="1"/>
          <w:bCs w:val="1"/>
          <w:color w:val="auto"/>
        </w:rPr>
        <w:t xml:space="preserve">Carol L. Brosgart </w:t>
      </w:r>
      <w:r>
        <w:rPr>
          <w:rFonts w:ascii="Arial" w:cs="Arial" w:eastAsia="Arial" w:hAnsi="Arial"/>
          <w:sz w:val="17"/>
          <w:szCs w:val="17"/>
          <w:color w:val="auto"/>
        </w:rPr>
        <w:t>has been one of our independent directors since January 2018. She has held several executive management positions, notably</w:t>
      </w:r>
      <w:r>
        <w:rPr>
          <w:rFonts w:ascii="Arial" w:cs="Arial" w:eastAsia="Arial" w:hAnsi="Arial"/>
          <w:sz w:val="17"/>
          <w:szCs w:val="17"/>
          <w:b w:val="1"/>
          <w:bCs w:val="1"/>
          <w:color w:val="auto"/>
        </w:rPr>
        <w:t xml:space="preserve"> </w:t>
      </w:r>
      <w:r>
        <w:rPr>
          <w:rFonts w:ascii="Arial" w:cs="Arial" w:eastAsia="Arial" w:hAnsi="Arial"/>
          <w:sz w:val="17"/>
          <w:szCs w:val="17"/>
          <w:color w:val="auto"/>
        </w:rPr>
        <w:t>those of Chief Medical Officer at Alios (now J&amp;J), from February 2011 to August 2011, and Senior Vice President and Medical Director at the Children’s Hospital and Research Center in Oakland, California from December 2009 to January 2011. She held several executive management positions at Gilead Sciences (Vice President Clinical Research, Vice President Medical Affairs, Vice President Public Health and Strategy) between 1998 and 2009. She has served as a member of the board of directors of Galmed Pharmaceuticals, a clinical stage drug development biopharmaceutical company for liver, metabolic and inflammatory diseases, since 2017, and Enochian Biosciences, a biotechnology company committed to developing advanced allogenic cell and gene therapies, since 2020. Dr. Brosgart also serves as a director on the board of Mirum Pharmaceuticals, a clinical stage drug development biopharmaceutical company for rare liver diseases, since 2021. Dr. Brosgart is the chair of the scientific advisory board at Hepion Pharmaceuticals,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formerly ContraVir, a biotech company operating in the area of NASH, HBV, HCV and HDV in the field of HBV cures. She is also a consultant at Dynavax and several biotech companies working in the fields of liver diseases and infectious diseases. In addition, Dr. Brosgart currently sits on the board of the Hepatitis B Foundation, the Management Committee of the National Viral Hepatitis Roundtable, the Executive Committee of the Forum for Collaborative Research and the Management Committee of the HBV Cure Forum. She is also a clinical professor of medicine, biostatistics and epidemiology in the Global Health Sciences Department of the University of California, San Francisco. Dr. Brosgart holds a degree in Community Medicine from UC Berkeley and earned a Doctor of Medicine from UC San Francisco. We believe that Dr. Brosgart is qualified to serve on our Board because of her extensive experience as an executive and as a member of the boards of companies in the life sciences industry and her medical background.</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Corinna zur Bonsen-Thomas </w:t>
      </w:r>
      <w:r>
        <w:rPr>
          <w:rFonts w:ascii="Arial" w:cs="Arial" w:eastAsia="Arial" w:hAnsi="Arial"/>
          <w:sz w:val="17"/>
          <w:szCs w:val="17"/>
          <w:color w:val="auto"/>
        </w:rPr>
        <w:t>served as our Chair between August 2022 and May 2023 and has been one of our independent directors since June</w:t>
      </w:r>
      <w:r>
        <w:rPr>
          <w:rFonts w:ascii="Arial" w:cs="Arial" w:eastAsia="Arial" w:hAnsi="Arial"/>
          <w:sz w:val="17"/>
          <w:szCs w:val="17"/>
          <w:b w:val="1"/>
          <w:bCs w:val="1"/>
          <w:color w:val="auto"/>
        </w:rPr>
        <w:t xml:space="preserve"> </w:t>
      </w:r>
      <w:r>
        <w:rPr>
          <w:rFonts w:ascii="Arial" w:cs="Arial" w:eastAsia="Arial" w:hAnsi="Arial"/>
          <w:sz w:val="17"/>
          <w:szCs w:val="17"/>
          <w:color w:val="auto"/>
        </w:rPr>
        <w:t>2017. Since April 2020, Ms. zur Bonsen-Thomas has held the position of Managing Director and Chief Executive Officer of RetInSight GmbH, a company which she co-founded in April 2020 and specializes in ophthalmic imaging. Ms. zur Bonsen-Thomas was General Counsel for Smart Reporting GmbH from February 2017 to December 2022. From 1999 to 2015, she served as a member of the Supervisory Board of Baxter AG, an Austrian company. She has more than thirty years of international professional experience in the pharmaceutical, biopharmaceutical, medical and biotechnology industries. Ms. zur Bonsen-Thomas received her First Law State Examination from Ludwig Maximilian Universitaet and her Second Law State Examination from the Bavarian Ministry of Justice. We believe that Ms. zur Bonsen-Thomas is qualified to serve on our Board because of her extensive professional experience in the life sciences industry.</w:t>
      </w:r>
    </w:p>
    <w:p>
      <w:pPr>
        <w:spacing w:after="0" w:line="17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Kinam Hong </w:t>
      </w:r>
      <w:r>
        <w:rPr>
          <w:rFonts w:ascii="Arial" w:cs="Arial" w:eastAsia="Arial" w:hAnsi="Arial"/>
          <w:sz w:val="17"/>
          <w:szCs w:val="17"/>
          <w:color w:val="auto"/>
        </w:rPr>
        <w:t>has served as the permanent representative of Sofinnova Partners on our Board since September 2019. He has served as the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for Sofinnova’s strategy of crossover and growth investment in late development stage companies at Sofinnova Partners since January 2017. He has served as the permanent representative of Sofinnova Partners on the board of directors of CytoImmune Therapeutics, Inc. since July 2021 and as an observer then board member of Limflow SA since April 2018. Prior to Sofinnova Partners, Dr. Hong spent ten years as an investor and research analyst covering the biotechnology sector. Dr. Hong co-led the Exane Equinox Fund, a global healthcare fund investing in public biotech companies. He also worked at Citigroup investment research where he focused on small- and midcap biotechnology companies. Before his investment career, Dr. Hong worked in new product development at Sanofi, a multinational pharmaceutical company, where he held positions in business development and strategic/new product marketing. Dr. Hong is a doctor and scientist who holds a Bachelor of Science degrees in molecular biology/biochemistry and a Doctor of Medicine from the University of Florida. He also holds a Chartered Financial Analyst and a Master of Business Administration from INSEAD, France. We believe that Dr. Hong is qualified to serve on our Board because of his extensive experience as an investor and as a member of the boards of companies in the life sciences industry.</w:t>
      </w:r>
    </w:p>
    <w:p>
      <w:pPr>
        <w:spacing w:after="0" w:line="182"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b w:val="1"/>
          <w:bCs w:val="1"/>
          <w:color w:val="auto"/>
        </w:rPr>
        <w:t xml:space="preserve">Paolo Rampulla </w:t>
      </w:r>
      <w:r>
        <w:rPr>
          <w:rFonts w:ascii="Arial" w:cs="Arial" w:eastAsia="Arial" w:hAnsi="Arial"/>
          <w:sz w:val="17"/>
          <w:szCs w:val="17"/>
          <w:color w:val="auto"/>
        </w:rPr>
        <w:t>has served as the permanent representative of Santé Holdings SRL on our Board since September 2023. Dr. Rampulla is a</w:t>
      </w:r>
      <w:r>
        <w:rPr>
          <w:rFonts w:ascii="Arial" w:cs="Arial" w:eastAsia="Arial" w:hAnsi="Arial"/>
          <w:sz w:val="17"/>
          <w:szCs w:val="17"/>
          <w:b w:val="1"/>
          <w:bCs w:val="1"/>
          <w:color w:val="auto"/>
        </w:rPr>
        <w:t xml:space="preserve"> </w:t>
      </w:r>
      <w:r>
        <w:rPr>
          <w:rFonts w:ascii="Arial" w:cs="Arial" w:eastAsia="Arial" w:hAnsi="Arial"/>
          <w:sz w:val="17"/>
          <w:szCs w:val="17"/>
          <w:color w:val="auto"/>
        </w:rPr>
        <w:t>trained economist, qualified tax advisor (</w:t>
      </w:r>
      <w:r>
        <w:rPr>
          <w:rFonts w:ascii="Arial" w:cs="Arial" w:eastAsia="Arial" w:hAnsi="Arial"/>
          <w:sz w:val="17"/>
          <w:szCs w:val="17"/>
          <w:i w:val="1"/>
          <w:iCs w:val="1"/>
          <w:color w:val="auto"/>
        </w:rPr>
        <w:t>dottore commercialista</w:t>
      </w:r>
      <w:r>
        <w:rPr>
          <w:rFonts w:ascii="Arial" w:cs="Arial" w:eastAsia="Arial" w:hAnsi="Arial"/>
          <w:sz w:val="17"/>
          <w:szCs w:val="17"/>
          <w:color w:val="auto"/>
        </w:rPr>
        <w:t>) and chartered auditor (</w:t>
      </w:r>
      <w:r>
        <w:rPr>
          <w:rFonts w:ascii="Arial" w:cs="Arial" w:eastAsia="Arial" w:hAnsi="Arial"/>
          <w:sz w:val="17"/>
          <w:szCs w:val="17"/>
          <w:i w:val="1"/>
          <w:iCs w:val="1"/>
          <w:color w:val="auto"/>
        </w:rPr>
        <w:t>revisore legale</w:t>
      </w:r>
      <w:r>
        <w:rPr>
          <w:rFonts w:ascii="Arial" w:cs="Arial" w:eastAsia="Arial" w:hAnsi="Arial"/>
          <w:sz w:val="17"/>
          <w:szCs w:val="17"/>
          <w:color w:val="auto"/>
        </w:rPr>
        <w:t>). Dr. Rampulla has served as a member of the board of Carmat SA since September 2023. Dr. Rampulla holds a Master in Tax Law from Ipsoa School of Economics, Milan, Italy, and a degree in Economics from the University Luigi Bocconi, Milan, Italy. Dr. Rampulla is a partner at ADVANT-NCTM, where he has practiced law since 2003 and regularly advises clients in M&amp;A and international tax matters in the healthcare and med-tech industries. We believe that Dr. Rampulla is qualified to serve on our Board because of his experience as an advisor to companies in the life sciences industry.</w:t>
      </w:r>
    </w:p>
    <w:p>
      <w:pPr>
        <w:spacing w:after="0" w:line="173"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Philippe Pouletty, MD </w:t>
      </w:r>
      <w:r>
        <w:rPr>
          <w:rFonts w:ascii="Arial" w:cs="Arial" w:eastAsia="Arial" w:hAnsi="Arial"/>
          <w:sz w:val="18"/>
          <w:szCs w:val="18"/>
          <w:color w:val="auto"/>
        </w:rPr>
        <w:t>has served as a director since December 2013 and is our founder, as well as founder or co-founder of Carbios, Carmat,</w:t>
      </w:r>
      <w:r>
        <w:rPr>
          <w:rFonts w:ascii="Arial" w:cs="Arial" w:eastAsia="Arial" w:hAnsi="Arial"/>
          <w:sz w:val="18"/>
          <w:szCs w:val="18"/>
          <w:b w:val="1"/>
          <w:bCs w:val="1"/>
          <w:color w:val="auto"/>
        </w:rPr>
        <w:t xml:space="preserve"> </w:t>
      </w:r>
      <w:r>
        <w:rPr>
          <w:rFonts w:ascii="Arial" w:cs="Arial" w:eastAsia="Arial" w:hAnsi="Arial"/>
          <w:sz w:val="18"/>
          <w:szCs w:val="18"/>
          <w:color w:val="auto"/>
        </w:rPr>
        <w:t>Vexim, Symetis, Affluent Medical, SpikImm and more than a dozen other biotechnology and medical technology companies of Truffle Capital, several being listed or were acquired. He was the Chairman of France Biotech from 2001 to 2006 and from 2007 to 2009, the French association of biotech companies and Vice-Chairman of Europabio from 2002 to 2006, the European federation of biotechnologies. Dr. Pouletty is a member of the board of directors or the chairman of several biotechnology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96" w:lineRule="auto"/>
        <w:rPr>
          <w:sz w:val="20"/>
          <w:szCs w:val="20"/>
          <w:color w:val="auto"/>
        </w:rPr>
      </w:pPr>
      <w:r>
        <w:rPr>
          <w:rFonts w:ascii="Arial" w:cs="Arial" w:eastAsia="Arial" w:hAnsi="Arial"/>
          <w:sz w:val="16"/>
          <w:szCs w:val="16"/>
          <w:color w:val="auto"/>
        </w:rPr>
        <w:t>medical device companies in Europe. Dr. Pouletty, acting as permanent representative of Truffle Capital, has served as director of Pharnext SA, from April 2016 to October 2021, Carmat SA, from April 2021 to July 2021, and Deinove SA, from 2009 to 2021. Dr. Pouletty holds a Doctor of Medicine from Université Paris VI and was a Post-doctoral fellow at Stanford University and is a permanent member of the hall of fame of inventors of Stanford University. We believe that Dr. Pouletty is qualified to serve on our Board because of his extensive experience as founder and member of the boards of companies in the life sciences industry, his medical background and his experience as an executive of several biotechnology organizations.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French law and our by-laws, our Board must be comprised of between three and 18 members, without prejudice to the derogation established by law in the event of a merger. As of the date of this prospectus, our Board is comprised of eight directors. The number of directors of each gender may not be less than 40% under French law. In case a board of directors comprises up to eight members, the difference between the number of directors of each gender may not exceed two. Any appointment made in violation of this limit that is not remedied within six months of this appointment will be null and void and payment of directors’ compensation will be suspended. Within these limits, the number of directors is determined by our shareholders. Our directors are appointed for four-year renewable terms, in accordance with our by-laws and the chairperson is appointed for the duration of his term as director. In accordance with French law, our by-laws also provide that our directors may be removed with or without cause by the holders of at least a majority of the voting rights of the shareholders present, represented by a proxy or voting by mail at the relevant ordinary shareholders’ meeting, and that any vacancy on our Board be filled by a vote of a majority of our directors then in office provided that there has been no shareholders meeting since such death or resignation. Directors chosen or appointed to fill a vacancy shall be elected by the Board for the remaining duration of the current term of the replaced director. The appointment must then be ratified at the next shareholders’ meeting. In the event that the Board would be composed of less than three directors as a result of a vacancy, the remaining directors shall immediately convene a shareholders’ meeting to elect one or several new directors so there are at least three directors serving on the Board, in accordance with French law.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Current Position</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Year of Initial</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Term Expiration</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Appointment</w:t>
            </w: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95"/>
        </w:trPr>
        <w:tc>
          <w:tcPr>
            <w:tcW w:w="53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Marc de Garidel</w:t>
            </w:r>
          </w:p>
        </w:tc>
        <w:tc>
          <w:tcPr>
            <w:tcW w:w="6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Chairman</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4"/>
              </w:rPr>
              <w:t>2023</w:t>
            </w:r>
          </w:p>
        </w:tc>
        <w:tc>
          <w:tcPr>
            <w:tcW w:w="14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(as Director),</w:t>
            </w:r>
          </w:p>
        </w:tc>
        <w:tc>
          <w:tcPr>
            <w:tcW w:w="5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94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color w:val="auto"/>
                <w:w w:val="89"/>
              </w:rPr>
              <w:t>(as Chairman)</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Corinna zur Bonsen-Thomas</w:t>
            </w:r>
          </w:p>
        </w:tc>
        <w:tc>
          <w:tcPr>
            <w:tcW w:w="6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June Lee</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Troy Ignelzi</w:t>
            </w:r>
          </w:p>
        </w:tc>
        <w:tc>
          <w:tcPr>
            <w:tcW w:w="66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94"/>
        </w:trPr>
        <w:tc>
          <w:tcPr>
            <w:tcW w:w="5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Santé Holdings SRL</w:t>
            </w: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(permanent representative to the Board: Paolo Rampulla)</w:t>
            </w:r>
          </w:p>
        </w:tc>
        <w:tc>
          <w:tcPr>
            <w:tcW w:w="6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310"/>
        </w:trPr>
        <w:tc>
          <w:tcPr>
            <w:tcW w:w="5340" w:type="dxa"/>
            <w:vAlign w:val="bottom"/>
          </w:tcPr>
          <w:p>
            <w:pPr>
              <w:spacing w:after="0"/>
              <w:rPr>
                <w:sz w:val="20"/>
                <w:szCs w:val="20"/>
                <w:color w:val="auto"/>
              </w:rPr>
            </w:pPr>
            <w:r>
              <w:rPr>
                <w:rFonts w:ascii="Arial" w:cs="Arial" w:eastAsia="Arial" w:hAnsi="Arial"/>
                <w:sz w:val="18"/>
                <w:szCs w:val="18"/>
                <w:color w:val="auto"/>
              </w:rPr>
              <w:t>Truffle Capital</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(permanent representative to the Board: Philippe Pouletty)</w:t>
            </w:r>
          </w:p>
        </w:tc>
        <w:tc>
          <w:tcPr>
            <w:tcW w:w="66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08"/>
        </w:trPr>
        <w:tc>
          <w:tcPr>
            <w:tcW w:w="5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w w:val="90"/>
              </w:rPr>
              <w:t>Sofinnova Partners (permanent representative to the Board: Kinam Hong)</w:t>
            </w:r>
          </w:p>
        </w:tc>
        <w:tc>
          <w:tcPr>
            <w:tcW w:w="66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365"/>
        </w:trPr>
        <w:tc>
          <w:tcPr>
            <w:tcW w:w="534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w w:val="93"/>
              </w:rPr>
              <w:t>181</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7"/>
          <w:szCs w:val="17"/>
          <w:i w:val="1"/>
          <w:iCs w:val="1"/>
          <w:color w:val="auto"/>
        </w:rPr>
      </w:pPr>
      <w:r>
        <w:rPr>
          <w:rFonts w:ascii="Arial" w:cs="Arial" w:eastAsia="Arial" w:hAnsi="Arial"/>
          <w:sz w:val="17"/>
          <w:szCs w:val="17"/>
          <w:i w:val="1"/>
          <w:iCs w:val="1"/>
          <w:color w:val="auto"/>
        </w:rPr>
        <w:t>The mandates expire at the annual shareholders’ meeting approving the financial statements closed on December 31 of the previous year.</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except to the extent that our audit committee is required to be consistent with independence requirements, subject to certain phase-in schedules. In determining whether a director is an independent director, our Board considers the relationships that each non-employee director has with the Board and all other facts and circumstances that our Board deems relevant in determining the director’s independence, including the number of ordinary shares beneficially owned by the director and his or her affiliated entities, if any.</w:t>
      </w:r>
    </w:p>
    <w:p>
      <w:pPr>
        <w:spacing w:after="0" w:line="188"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We currently have four independent directors (as defined by the Middlenext Code of Corporate Governance), including June Lee, Troy Ignelzi, Corinna zur Bonsen-Thomas and Carol L. Brosgart. The Middlenext Code sets out the five following criteria justifying the independence of directors, characterized by the absence of any significant financial, contractual or family relationship likely to affect their independence of judgment:</w:t>
      </w:r>
    </w:p>
    <w:p>
      <w:pPr>
        <w:spacing w:after="0" w:line="54" w:lineRule="exact"/>
        <w:rPr>
          <w:sz w:val="20"/>
          <w:szCs w:val="20"/>
          <w:color w:val="auto"/>
        </w:rPr>
      </w:pPr>
    </w:p>
    <w:p>
      <w:pPr>
        <w:ind w:left="1080" w:right="36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they must not be a salaried employee or corporate officer of us or our group and must not have held such a position within the last five years;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they must not be in a significant business relationship with us or our group (e.g., client, supplier, competitor, provider, creditor, banker, etc.) within the last two years;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they must not be a reference shareholder or hold a significant number of 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they must not have close relationships or family ties with any of our corporate officer or reference shareholder;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they must not have been our auditor within the last six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Non-voting Board Members</w:t>
      </w:r>
    </w:p>
    <w:p>
      <w:pPr>
        <w:spacing w:after="0" w:line="117" w:lineRule="exact"/>
        <w:rPr>
          <w:sz w:val="20"/>
          <w:szCs w:val="20"/>
          <w:color w:val="auto"/>
        </w:rPr>
      </w:pPr>
    </w:p>
    <w:p>
      <w:pPr>
        <w:jc w:val="both"/>
        <w:ind w:left="120" w:right="240" w:firstLine="440"/>
        <w:spacing w:after="0" w:line="277" w:lineRule="auto"/>
        <w:rPr>
          <w:sz w:val="20"/>
          <w:szCs w:val="20"/>
          <w:color w:val="auto"/>
        </w:rPr>
      </w:pPr>
      <w:r>
        <w:rPr>
          <w:rFonts w:ascii="Arial" w:cs="Arial" w:eastAsia="Arial" w:hAnsi="Arial"/>
          <w:sz w:val="18"/>
          <w:szCs w:val="18"/>
          <w:color w:val="auto"/>
        </w:rPr>
        <w:t>Pursuant to our by-laws, the General Meeting or the Board may appoint non-voting board members. To date, no non-voting directors have been appointed.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 Among the Management and Supervisory Bodies and Executive Management</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Our Chairperson and Chief Executive Officer, our Chief Financial Officer and Board Secretary and our directors are direct or indirect shareholders or holders of securities giving access to our share capital. See “Compensation and Benefits—Compensation of Chief Executive Officer.”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agreements between related parties, as described in “Certain Relationships and Related Person Transactions.”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Practices</w:t>
      </w:r>
    </w:p>
    <w:p>
      <w:pPr>
        <w:spacing w:after="0" w:line="11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 xml:space="preserve">As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listed on Euronext Paris, we are subject to various corporate governance requirements under French law. In particular, we refer to the Code of Corporate Governance for small and medium-sized firms as published in September 2021 by Middlenext, as amended from time to time. In addition, as a foreign private issuer listed on the Nasdaq Global Market, we will be subject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Nasdaq’s corporate governance listing standards. Nasdaq’s listing standards provide that foreign private issuers are permitted to follow home country governance practices in lieu of Nasdaq rules, with certain exceptions. We intend to rely on certain exemptions for foreign private issuers and follow French corporate governance practices in lieu of Nasdaq corporate governance rules, which would require that (i) a majority of our Board consists of independent directors and (ii) the audit committee be composed of entirely independent directors.</w:t>
      </w:r>
    </w:p>
    <w:p>
      <w:pPr>
        <w:spacing w:after="0" w:line="17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As a foreign private issuer, we are required to comply with Rule 10A-3 of the Exchange Act, relating to audit committee composition and responsibilities. Rule 10A-3 provides that the audit committee must have direct responsibility for the nomination, compensation and choice of our auditors, as well as control over the performance of their duties, management of complaints made and selection of consultants. However, if the laws of the foreign private issuer’s home country require that any such matter be approved by the Board or the shareholders, the audit committee’s responsibilities or powers with respect to such matter may instead be advisory. Under French law, the audit committee may only have an advisory role and appointment of our statutory auditors, in particular, must be decided by our shareholders at our annual meeting.</w:t>
      </w:r>
    </w:p>
    <w:p>
      <w:pPr>
        <w:spacing w:after="0" w:line="178"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6"/>
          <w:szCs w:val="16"/>
          <w:color w:val="auto"/>
        </w:rPr>
        <w:t>In addition, Nasdaq rules require that a listed company specify that the quorum for any meeting of the holders of common stock (or ordinary shares) be at least 33</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3</w:t>
      </w:r>
      <w:r>
        <w:rPr>
          <w:rFonts w:ascii="Arial" w:cs="Arial" w:eastAsia="Arial" w:hAnsi="Arial"/>
          <w:sz w:val="16"/>
          <w:szCs w:val="16"/>
          <w:color w:val="auto"/>
        </w:rPr>
        <w:t xml:space="preserve"> % of the outstanding shares of the company’s common voting stock. Consistent with French Law, our by-laws provide that, for ordinary shareholders’ meetings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as the same quorum requirement as an ordinary shareholders’ meeting. If the requirements for a quorum are not satisfied, the meeting is adjourned. When an adjourned ordinary shareholders’ meeting is resumed, there is no quorum requirement. When an adjourned extraordinary shareholders’ meeting is resumed, there is a quorum of one-fifth of the holders of shares entitled to voting rights. If a quorum is not present, the reconvened extraordinary shareholders’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notice and one-fifth of the holders of shares entitled to voting rights, should the meeting be reconvened. See “Description of Share Capital—Shareholders’ Meetings and Voting Rights (Article 22 of the By-Laws)—Quorum.”</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consists of eight members and the composition of our Board is described further below in this section.</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rules of procedure of our Board set the principles guiding the composition of the Board. The most recent version of this document was adopted by our Board in April 2021. We have established an audit committee, appointment and compensation committee and scientific committee, as described below.</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has established two permanent, specialized committees to assist the Board in its work: the audit committee and the appointments and compensation committee, as well as one ad hoc committee, the scientific committee. Subject to available exemptions the composition and functioning of all of our committees will comply with applicable requirements of the French Commercial Code, the Exchange Act, the Nasdaq Global Market and SEC rules and regulations.</w:t>
      </w:r>
    </w:p>
    <w:p>
      <w:pPr>
        <w:spacing w:after="0" w:line="18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 accordance with French law, committees of our Board only have an advisory role and can only make recommendations to our Board. As a result, decisions will be made by our Board taking into account non-binding recommendations of the relevant Board committee.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audit committee monitors issues relating to the elaboration and control of accounting and financial information as provided for by French law and by our by-laws and by the rules of procedure of the Board. It then formulates recommendations to the Board in its task of permanent control of our management. It also issues recommendations in relation to the proposed statutory auditors.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right="126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monitoring the preparation and development of accounting and financial information and, where appropriate, formulating recommendations in this respect to ensure its accuracy;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reviewing the efficiency of the internal control and risk management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ensuring proper legal oversight of the preparation of the annual financial statements and financial statements by the statutory auditors;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selecting and ensuring the independence of the statutory auditors.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also responsible for approving:</w:t>
      </w:r>
    </w:p>
    <w:p>
      <w:pPr>
        <w:spacing w:after="0" w:line="131"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non-audit services provided by the statutory auditors (including the permitted level of fees);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budgets for statutory audits and other engagements provided by the statutory auditors.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further controls the services provided by the auditors in relation to what is permitted by law or regulation.</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audit committee is responsible for formulating recommendations regarding the statutory auditors proposed for nomination by the General Meeting of Shareholders and/or during the renewal of their term.</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Within this context, the audit committee may examine our annual financial statements in the form that they are presented to the Board, hear the opinions of the statutory auditors and the finance director and receive communications in relation to their analysis work and their conclusions.</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may use external experts at our expense, after approval of the chairperson of the Board or the audit committee or of the Chief Executive Officer, and render any expert reports to the Board.</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audit committee may hear any director and carry out any internal or external audit on any subject it considers relevant to its mission. The chairperson of the audit committee shall inform the Board in advance. In particular, the audit committee has the power to interview the persons involved in the preparation of the accounts or in their control (administrative and financial director and the main managers of the financial department).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audit committee and chairperson of the audit committee are appointed by the Board from members of the Board, excluding executive directors, with finance or accounting skills and at least one member must be independent in accordance with the provisions of the Middlenext Code. Members of the audit committee are appointed for a fixed period of time, which may not exceed the duration of their terms of office as director and may be revoked by the Board at any time and without reason. Appointments are renewable without limitation. The audit committee is composed of at least two members and members receive no compensation other than attendance fees. Their duties on the audit committee may be taken into account in determining the allocation of such attendance fees.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current members of the audit committee are Troy Ignelzi, Corinna zur Bonsen-Thomas and Kinam Hong (representing Sofinnova Partners).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chairperson of the audit committee is Mr. Ignelzi.</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may invite any person, internal or external to us, to take part in its meetings and its work.</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Board has determined that each of the members of our audit committee is independent within the meaning of the applicable listing rules and the independence requirements contemplated by Rule 10A-3. Committee members must be competent in financial or accounting matters and at least one member must be independent in accordance with the provisions of the Middlenext Code. Our Board has further determined that Mr. Ignelzi is an “audit committee financial expert” as defined by SEC rules and regulations and that Mr. Ignelzi qualifies as financially sophisticated under the applicable exchange listing rules.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of Functioning</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audit committee meets when the chairperson of the audit committee, at least two members of the audit committee, the chairperson of the Board or the Chief Executive Officer deems useful and at least twice per year, particularly before publication of the financial statements. The committee may be convened by any means 24 hours before the meeting by the chairperson of the audit committee or of the Board or any individual to whom one of them shall have delegated the necessary authority. The committee meets at the registered office or in any other place specified in the notice of the meeting. It may also meet by video conference or by any means of telecommunication as specified in the internal regulation of the Board.</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 deliberate validly, at least half of the members of the committee must be present. At meetings, one member of the audit committee may be represented by another audit committee member and the audit committee’s recommendations are adopted by simple majority. Upon completion of each meeting, if the members deem it necessary, meeting minutes may be prepared. The chairperson of the audit committee regularly reports to the Board on the committee’s work and immediately report any difficulty encountered.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Appointments and Compensation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appointments and compensation committee makes recommendations to the Board in relation to the nomination of, and compensation for, executive directors and the operational and functional management, and with regard to appointments and compensation policy and internal profit sharing. In particular, the appointments and compensation committee:</w:t>
      </w:r>
    </w:p>
    <w:p>
      <w:pPr>
        <w:spacing w:after="0" w:line="89" w:lineRule="exact"/>
        <w:rPr>
          <w:sz w:val="20"/>
          <w:szCs w:val="20"/>
          <w:color w:val="auto"/>
        </w:rPr>
      </w:pPr>
    </w:p>
    <w:p>
      <w:pPr>
        <w:ind w:left="1080" w:right="60" w:hanging="424"/>
        <w:spacing w:after="0" w:line="275" w:lineRule="auto"/>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provides recommendations and proposals to the Board concerning the appointment, in particular in the research of a balanced representation of men and women on the Board, compensation, retirement and provident scheme, supplementary pension benefits, benefits in kind, various financial rights of our managers and executive officers, the allocation of share warrants (BSA), founder’s share warrants (BCE), free shares (AGA), share subscription or share purchase options, for the benefit of our employees, managers or consultants and, where applicable, its subsidiaries, in accordance with legal provisions;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defines the methods for determining the variable portion of the compensation of corporate officers and monitors its application;</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proposes a general policy for awarding share warrants (BSA), founder’s share warrants (BCE), free shares (AGA) and options to subscribe or purchase shares, and determines the frequency thereof, depending on the categories of beneficiaries;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examines the system of for the allocation of directors’ fees among the members of the Board, particularly according to their participation in our committees;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expresses its opinion to senior management about the compensation of the principal senior executives.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appointments and compensation committee is also involved in discussing each independent director’s qualifications upon his or her nomination and during the exercise of his or her term of office, as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appointments and compensation committee is composed of at least two members. The chairperson of the compensation committee and the committee’s members are appointed by the Board from members of the Board. Members are appointed for a fixed period of time, which may not exceed, as applicable, the duration of their term of office as director and may be revoked by the Board at any time and without reason. Their appointments shall be renewable without limitation.</w:t>
      </w:r>
    </w:p>
    <w:p>
      <w:pPr>
        <w:spacing w:after="0" w:line="18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 chairperson of the Board, if not a member of the appointments and compensation committee, may be invited to participate in the appointments and compensation committee’s meetings. The appointments and compensation committee shall invite him/her to present its proposals. He/she shall not have the right to vote and shall not be present during the deliberations relating to his/her own situation.</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current members of the appointments and compensation committee are June Lee, Philippe Pouletty (representing Truffle Capital), Corinna zur Bonsen-Thomas and Kinam Hong (representing Sofinnova Partners). The current chairperson of the appointments and compensation committee is Dr. Lee.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appointments and compensation committee may invite any person, internal or external to us, to take part in its meetings and its work.</w:t>
      </w:r>
    </w:p>
    <w:p>
      <w:pPr>
        <w:spacing w:after="0" w:line="23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Appointments and compensation committee members shall receive no compensation other than attendance fees. Their duties on the compensation committee may be taken into consideration in determining the allocation of such attendance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of Functioning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appointments and compensation committee meets when the chairperson of the appointments and compensation committee, at least two members of the appointments and compensation committee, the chairperson of the Board or the Chief Executive Officer deems useful and at least once a year. The appointments and compensation committee may be convened by any means, 24 hours before the meeting, by the chairperson of the appointments and compensation committee or of the Board, or any individual to whom one of them shall have delegated the authority necessary for the convocation.</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committee meets at the registered office or in any other place specified in the notice of the meeting. It may also meet by video conference or by any means of telecommunication, as specified in the internal regulation of the Board.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To deliberate validly, at least half of the members of the committee must be present. A member of the appointments and compensation committee may be represented by another appointments and compensation committee member and the appointments and compensation committee’s recommendations are adopted by simple majority. Upon completion of each meeting, if the members deem it necessary, meeting minutes may be prepared.</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appointments and compensation committee chairperson reports regularly to the Board on the appointments and compensation committee’s work and shall immediately report any difficulty encountered.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Scientific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scientific committee was created by a decision by the Board on September 27,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role of the scientific committee is to:</w:t>
      </w:r>
    </w:p>
    <w:p>
      <w:pPr>
        <w:spacing w:after="0" w:line="131"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examine specific scientific questions submitted to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recommendations for determining the general guidelines to be adopted in the scientific field;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make recommendations for defining our priorities in the field of research and development and the means for achieving such objectives.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meets at least once a year.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It works in collaboration with the Chief Executive Officer, who may request its opinion on subjects related to its mission. At the request of the Board, the chairperson of the scientific committee reports on the committee’s work to the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scientific committee is composed of at least four members appointed by the Board upon proposal of the Chief Executive Officer. The members of the scientific committee do not have to be members of the Board.</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current members of the scientific committee are Prof. Ian McGowan, MD, PhD, (Chairman); Prof. Christian Bréchot; Prof. Christoph Huber; Prof. Jürgen Rockstroh; Prof. Christian Trepo; Prof. Lawrence R. Stanberry; Prof. Luc Teyton; and Claude Bertrand.</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composition of the scientific committee is currently under review in light of our needs for the continued development of our clinical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we have adopted a Code of Business Conduct and Ethics policy in connection with the offering. Under this policy, our employees and members of our Board have an affirmative responsibility to disclose any transaction or relationship that reasonably could be expected to give rise to a conflict of interest. In considering related-party transactions, our Board will take into account the relevant available facts and circumstances including, but not limited to:</w:t>
      </w:r>
    </w:p>
    <w:p>
      <w:pPr>
        <w:spacing w:after="0" w:line="92"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opportunity costs of alternative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materiality and character of the related party’s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and the terms available to or from, as the case may be, unrelated third parties or to or from employees generally.</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policy requires that, in determining whether to approve, ratify or reject a related-party transaction, our Board must consider, in light of known circumstances, whether the transaction is in, or is not inconsistent with, our best interests and those of our shareholders, as our Board determines in the good faith exercise of its discretion. All of the transactions referred to above were entered into prior to the adoption of the written related-party transaction policy but all were approved by our Board to the extent required by, and in compliance with, French law.</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Chief Executive Officer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out the compensation awarded to our Chief Executive Officer in the applicable period: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9020" w:type="dxa"/>
            <w:vAlign w:val="bottom"/>
          </w:tcPr>
          <w:p>
            <w:pPr>
              <w:spacing w:after="0"/>
              <w:rPr>
                <w:sz w:val="10"/>
                <w:szCs w:val="10"/>
                <w:color w:val="auto"/>
              </w:rPr>
            </w:pPr>
          </w:p>
        </w:tc>
        <w:tc>
          <w:tcPr>
            <w:tcW w:w="120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  </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2021  </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2022  </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80" w:type="dxa"/>
            <w:vAlign w:val="bottom"/>
            <w:gridSpan w:val="2"/>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 de Garidel—Chief Executive Officer and Chairman from May 5, 2023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1200" w:type="dxa"/>
            <w:vAlign w:val="bottom"/>
            <w:gridSpan w:val="3"/>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Variable annual compensation</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1200" w:type="dxa"/>
            <w:vAlign w:val="bottom"/>
            <w:gridSpan w:val="3"/>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1200" w:type="dxa"/>
            <w:vAlign w:val="bottom"/>
            <w:gridSpan w:val="3"/>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020" w:type="dxa"/>
            <w:vAlign w:val="bottom"/>
            <w:vMerge w:val="continue"/>
          </w:tcPr>
          <w:p>
            <w:pPr>
              <w:spacing w:after="0"/>
              <w:rPr>
                <w:sz w:val="20"/>
                <w:szCs w:val="20"/>
                <w:color w:val="auto"/>
              </w:rPr>
            </w:pPr>
          </w:p>
        </w:tc>
        <w:tc>
          <w:tcPr>
            <w:tcW w:w="1200" w:type="dxa"/>
            <w:vAlign w:val="bottom"/>
            <w:gridSpan w:val="3"/>
          </w:tcPr>
          <w:p>
            <w:pPr>
              <w:ind w:left="420"/>
              <w:spacing w:after="0"/>
              <w:rPr>
                <w:sz w:val="20"/>
                <w:szCs w:val="20"/>
                <w:color w:val="auto"/>
              </w:rPr>
            </w:pPr>
            <w:r>
              <w:rPr>
                <w:rFonts w:ascii="Arial" w:cs="Arial" w:eastAsia="Arial" w:hAnsi="Arial"/>
                <w:sz w:val="18"/>
                <w:szCs w:val="18"/>
                <w:b w:val="1"/>
                <w:bCs w:val="1"/>
                <w:color w:val="auto"/>
              </w:rPr>
              <w:t>N/A</w:t>
            </w:r>
          </w:p>
        </w:tc>
        <w:tc>
          <w:tcPr>
            <w:tcW w:w="800" w:type="dxa"/>
            <w:vAlign w:val="bottom"/>
            <w:gridSpan w:val="2"/>
          </w:tcPr>
          <w:p>
            <w:pPr>
              <w:ind w:left="4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Hartmut Ehrlich—Chief Executive Officer until May 5, 2023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2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303,685</w:t>
            </w:r>
          </w:p>
        </w:tc>
        <w:tc>
          <w:tcPr>
            <w:tcW w:w="4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321,906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Variable annual compensation</w:t>
            </w:r>
            <w:r>
              <w:rPr>
                <w:rFonts w:ascii="Arial" w:cs="Arial" w:eastAsia="Arial" w:hAnsi="Arial"/>
                <w:sz w:val="25"/>
                <w:szCs w:val="25"/>
                <w:i w:val="1"/>
                <w:iCs w:val="1"/>
                <w:color w:val="auto"/>
                <w:vertAlign w:val="superscript"/>
              </w:rPr>
              <w:t>(1)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144,250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193,144</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1200" w:type="dxa"/>
            <w:vAlign w:val="bottom"/>
            <w:gridSpan w:val="3"/>
          </w:tcPr>
          <w:p>
            <w:pPr>
              <w:ind w:left="480"/>
              <w:spacing w:after="0"/>
              <w:rPr>
                <w:sz w:val="20"/>
                <w:szCs w:val="20"/>
                <w:color w:val="auto"/>
              </w:rPr>
            </w:pPr>
            <w:r>
              <w:rPr>
                <w:rFonts w:ascii="Arial" w:cs="Arial" w:eastAsia="Arial" w:hAnsi="Arial"/>
                <w:sz w:val="18"/>
                <w:szCs w:val="18"/>
                <w:i w:val="1"/>
                <w:iCs w:val="1"/>
                <w:color w:val="auto"/>
              </w:rPr>
              <w:t>—  </w:t>
            </w:r>
          </w:p>
        </w:tc>
        <w:tc>
          <w:tcPr>
            <w:tcW w:w="800" w:type="dxa"/>
            <w:vAlign w:val="bottom"/>
            <w:gridSpan w:val="2"/>
          </w:tcPr>
          <w:p>
            <w:pPr>
              <w:ind w:left="480"/>
              <w:spacing w:after="0"/>
              <w:rPr>
                <w:sz w:val="20"/>
                <w:szCs w:val="20"/>
                <w:color w:val="auto"/>
              </w:rPr>
            </w:pPr>
            <w:r>
              <w:rPr>
                <w:rFonts w:ascii="Arial" w:cs="Arial" w:eastAsia="Arial" w:hAnsi="Arial"/>
                <w:sz w:val="18"/>
                <w:szCs w:val="18"/>
                <w:i w:val="1"/>
                <w:iCs w:val="1"/>
                <w:color w:val="auto"/>
                <w:w w:val="93"/>
              </w:rPr>
              <w:t>—  </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i w:val="1"/>
                <w:iCs w:val="1"/>
                <w:color w:val="auto"/>
              </w:rPr>
              <w:t>43,384</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i w:val="1"/>
                <w:iCs w:val="1"/>
                <w:color w:val="auto"/>
                <w:w w:val="93"/>
              </w:rPr>
              <w:t>—  </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1200" w:type="dxa"/>
            <w:vAlign w:val="bottom"/>
            <w:gridSpan w:val="3"/>
          </w:tcPr>
          <w:p>
            <w:pPr>
              <w:ind w:left="480"/>
              <w:spacing w:after="0"/>
              <w:rPr>
                <w:sz w:val="20"/>
                <w:szCs w:val="20"/>
                <w:color w:val="auto"/>
              </w:rPr>
            </w:pPr>
            <w:r>
              <w:rPr>
                <w:rFonts w:ascii="Arial" w:cs="Arial" w:eastAsia="Arial" w:hAnsi="Arial"/>
                <w:sz w:val="18"/>
                <w:szCs w:val="18"/>
                <w:i w:val="1"/>
                <w:iCs w:val="1"/>
                <w:color w:val="auto"/>
              </w:rPr>
              <w:t>—  </w:t>
            </w:r>
          </w:p>
        </w:tc>
        <w:tc>
          <w:tcPr>
            <w:tcW w:w="800" w:type="dxa"/>
            <w:vAlign w:val="bottom"/>
            <w:gridSpan w:val="2"/>
          </w:tcPr>
          <w:p>
            <w:pPr>
              <w:ind w:left="480"/>
              <w:spacing w:after="0"/>
              <w:rPr>
                <w:sz w:val="20"/>
                <w:szCs w:val="20"/>
                <w:color w:val="auto"/>
              </w:rPr>
            </w:pPr>
            <w:r>
              <w:rPr>
                <w:rFonts w:ascii="Arial" w:cs="Arial" w:eastAsia="Arial" w:hAnsi="Arial"/>
                <w:sz w:val="18"/>
                <w:szCs w:val="18"/>
                <w:i w:val="1"/>
                <w:iCs w:val="1"/>
                <w:color w:val="auto"/>
                <w:w w:val="93"/>
              </w:rPr>
              <w:t>—  </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8,880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8,880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500,199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Variable compensation paid for the financial year corresponds to the amount due for the previous year.</w:t>
      </w:r>
    </w:p>
    <w:p>
      <w:pPr>
        <w:spacing w:after="0" w:line="22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aggregate compensation paid and benefits in-kind granted by us to our current executive officers and directors, including share-based compensation, for the year ended December 31, 2022 and 2021 were €1.0 million and €0.9 million, respectively. For both years, we did not allocate any amounts to be set aside or accrued to provide pension, retirement or similar benefits to our directors or executive officers.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out the compensation awarded to our directors in the applicable period:</w:t>
      </w:r>
    </w:p>
    <w:p>
      <w:pPr>
        <w:spacing w:after="0" w:line="244"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Year ended</w:t>
      </w:r>
    </w:p>
    <w:p>
      <w:pPr>
        <w:jc w:val="center"/>
        <w:ind w:left="9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 2021 </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 2022 </w:t>
            </w:r>
          </w:p>
        </w:tc>
        <w:tc>
          <w:tcPr>
            <w:tcW w:w="8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Corinna zur Bonsen-Thomas</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15,260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Joy Amundson</w:t>
            </w:r>
            <w:r>
              <w:rPr>
                <w:rFonts w:ascii="Arial" w:cs="Arial" w:eastAsia="Arial" w:hAnsi="Arial"/>
                <w:sz w:val="25"/>
                <w:szCs w:val="25"/>
                <w:color w:val="auto"/>
                <w:vertAlign w:val="superscript"/>
              </w:rPr>
              <w:t>(1)</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16,350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20,710</w:t>
            </w:r>
          </w:p>
        </w:tc>
      </w:tr>
      <w:tr>
        <w:trPr>
          <w:trHeight w:val="216"/>
        </w:trPr>
        <w:tc>
          <w:tcPr>
            <w:tcW w:w="5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Jean-Jacques Bertrand</w:t>
            </w:r>
            <w:r>
              <w:rPr>
                <w:rFonts w:ascii="Arial" w:cs="Arial" w:eastAsia="Arial" w:hAnsi="Arial"/>
                <w:sz w:val="25"/>
                <w:szCs w:val="25"/>
                <w:color w:val="auto"/>
                <w:vertAlign w:val="superscript"/>
              </w:rPr>
              <w:t>(2)</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8,015</w:t>
            </w: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Santé Holdings SRL</w:t>
            </w:r>
          </w:p>
        </w:tc>
        <w:tc>
          <w:tcPr>
            <w:tcW w:w="4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(permanent representative to the Board: Paolo Rampulla)</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7,000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14,875</w:t>
            </w: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Truffle Capital</w:t>
            </w:r>
          </w:p>
        </w:tc>
        <w:tc>
          <w:tcPr>
            <w:tcW w:w="4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(permanent representative to the Board: Christian Pierret)</w:t>
            </w:r>
            <w:r>
              <w:rPr>
                <w:rFonts w:ascii="Arial" w:cs="Arial" w:eastAsia="Arial" w:hAnsi="Arial"/>
                <w:sz w:val="26"/>
                <w:szCs w:val="26"/>
                <w:color w:val="auto"/>
                <w:vertAlign w:val="superscript"/>
              </w:rPr>
              <w:t>(3)</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Carol L. Brosgart</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11,990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18,530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0"/>
              </w:rPr>
              <w:t>Sofinnova Partners (permanent representative to the Board: Kinam Hong)</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10,200</w:t>
            </w: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June Lee</w:t>
            </w:r>
            <w:r>
              <w:rPr>
                <w:rFonts w:ascii="Arial" w:cs="Arial" w:eastAsia="Arial" w:hAnsi="Arial"/>
                <w:sz w:val="25"/>
                <w:szCs w:val="25"/>
                <w:color w:val="auto"/>
                <w:vertAlign w:val="superscript"/>
              </w:rPr>
              <w:t>(1)</w:t>
            </w:r>
          </w:p>
        </w:tc>
        <w:tc>
          <w:tcPr>
            <w:tcW w:w="4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Troy Ignelzi</w:t>
            </w:r>
            <w:r>
              <w:rPr>
                <w:rFonts w:ascii="Arial" w:cs="Arial" w:eastAsia="Arial" w:hAnsi="Arial"/>
                <w:sz w:val="25"/>
                <w:szCs w:val="25"/>
                <w:color w:val="auto"/>
                <w:vertAlign w:val="superscript"/>
              </w:rPr>
              <w:t>(2)</w:t>
            </w:r>
          </w:p>
        </w:tc>
        <w:tc>
          <w:tcPr>
            <w:tcW w:w="4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Philippe Pouletty</w:t>
            </w:r>
            <w:r>
              <w:rPr>
                <w:rFonts w:ascii="Arial" w:cs="Arial" w:eastAsia="Arial" w:hAnsi="Arial"/>
                <w:sz w:val="25"/>
                <w:szCs w:val="25"/>
                <w:color w:val="auto"/>
                <w:vertAlign w:val="superscript"/>
              </w:rPr>
              <w:t>(3)</w:t>
            </w:r>
          </w:p>
        </w:tc>
        <w:tc>
          <w:tcPr>
            <w:tcW w:w="4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85,350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80,065</w:t>
            </w:r>
          </w:p>
        </w:tc>
      </w:tr>
      <w:tr>
        <w:trPr>
          <w:trHeight w:val="365"/>
        </w:trPr>
        <w:tc>
          <w:tcPr>
            <w:tcW w:w="5340" w:type="dxa"/>
            <w:vAlign w:val="bottom"/>
          </w:tcPr>
          <w:p>
            <w:pPr>
              <w:spacing w:after="0"/>
              <w:rPr>
                <w:sz w:val="24"/>
                <w:szCs w:val="24"/>
                <w:color w:val="auto"/>
              </w:rPr>
            </w:pPr>
          </w:p>
        </w:tc>
        <w:tc>
          <w:tcPr>
            <w:tcW w:w="4120" w:type="dxa"/>
            <w:vAlign w:val="bottom"/>
          </w:tcPr>
          <w:p>
            <w:pPr>
              <w:jc w:val="right"/>
              <w:ind w:right="3730"/>
              <w:spacing w:after="0"/>
              <w:rPr>
                <w:sz w:val="20"/>
                <w:szCs w:val="20"/>
                <w:color w:val="auto"/>
              </w:rPr>
            </w:pPr>
            <w:r>
              <w:rPr>
                <w:rFonts w:ascii="Arial" w:cs="Arial" w:eastAsia="Arial" w:hAnsi="Arial"/>
                <w:sz w:val="18"/>
                <w:szCs w:val="18"/>
                <w:color w:val="auto"/>
                <w:w w:val="93"/>
              </w:rPr>
              <w:t>188</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of July 2023, Ms. Amundson resigned from our Board, and Dr. Lee was appointed to our Board.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of July 2023, Mr. Bertrand resigned from our Board, and Mr. Ignelzi was appointed to our Board.</w:t>
      </w:r>
    </w:p>
    <w:p>
      <w:pPr>
        <w:spacing w:after="0" w:line="9" w:lineRule="exact"/>
        <w:rPr>
          <w:rFonts w:ascii="Arial" w:cs="Arial" w:eastAsia="Arial" w:hAnsi="Arial"/>
          <w:sz w:val="18"/>
          <w:szCs w:val="18"/>
          <w:color w:val="auto"/>
        </w:rPr>
      </w:pPr>
    </w:p>
    <w:p>
      <w:pPr>
        <w:ind w:left="540" w:right="940" w:hanging="424"/>
        <w:spacing w:after="0" w:line="260"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May 5, 2023, Dr. Pouletty resigned from his personal office as director and became Truffle Capital’s representative to the Board in replacement of Mr. Pierret.</w:t>
      </w:r>
    </w:p>
    <w:p>
      <w:pPr>
        <w:spacing w:after="0" w:line="18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At the general meeting of shareholders held on June 9, 2022, our shareholders approved a package of attendance fees and the compensation policy applicable to the chairperson of the Board and the Chief Executive Officer. For the fiscal year ended June 30, 2023, none of the amounts set aside or accrued to provide pension, retirement or similar benefits to our employees was attributable to our executive officers.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AGAs allocated to the chairperson and chief executive officer:</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jc w:val="right"/>
              <w:ind w:right="99"/>
              <w:spacing w:after="0"/>
              <w:rPr>
                <w:sz w:val="20"/>
                <w:szCs w:val="20"/>
                <w:color w:val="auto"/>
              </w:rPr>
            </w:pPr>
            <w:r>
              <w:rPr>
                <w:rFonts w:ascii="Arial" w:cs="Arial" w:eastAsia="Arial" w:hAnsi="Arial"/>
                <w:sz w:val="14"/>
                <w:szCs w:val="14"/>
                <w:b w:val="1"/>
                <w:bCs w:val="1"/>
                <w:color w:val="auto"/>
              </w:rPr>
              <w:t>Number of AGAs</w:t>
            </w: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5"/>
        </w:trPr>
        <w:tc>
          <w:tcPr>
            <w:tcW w:w="2240" w:type="dxa"/>
            <w:vAlign w:val="bottom"/>
          </w:tcPr>
          <w:p>
            <w:pPr>
              <w:spacing w:after="0"/>
              <w:rPr>
                <w:sz w:val="20"/>
                <w:szCs w:val="20"/>
                <w:color w:val="auto"/>
              </w:rPr>
            </w:pPr>
            <w:r>
              <w:rPr>
                <w:rFonts w:ascii="Arial" w:cs="Arial" w:eastAsia="Arial" w:hAnsi="Arial"/>
                <w:sz w:val="14"/>
                <w:szCs w:val="14"/>
                <w:b w:val="1"/>
                <w:bCs w:val="1"/>
                <w:color w:val="auto"/>
              </w:rPr>
              <w:t>Chairperson &amp; CEO</w:t>
            </w:r>
          </w:p>
        </w:tc>
        <w:tc>
          <w:tcPr>
            <w:tcW w:w="2140" w:type="dxa"/>
            <w:vAlign w:val="bottom"/>
          </w:tcPr>
          <w:p>
            <w:pPr>
              <w:ind w:left="960"/>
              <w:spacing w:after="0"/>
              <w:rPr>
                <w:sz w:val="20"/>
                <w:szCs w:val="20"/>
                <w:color w:val="auto"/>
              </w:rPr>
            </w:pPr>
            <w:r>
              <w:rPr>
                <w:rFonts w:ascii="Arial" w:cs="Arial" w:eastAsia="Arial" w:hAnsi="Arial"/>
                <w:sz w:val="14"/>
                <w:szCs w:val="14"/>
                <w:b w:val="1"/>
                <w:bCs w:val="1"/>
                <w:color w:val="auto"/>
              </w:rPr>
              <w:t>Allocation date</w:t>
            </w:r>
          </w:p>
        </w:tc>
        <w:tc>
          <w:tcPr>
            <w:tcW w:w="1780" w:type="dxa"/>
            <w:vAlign w:val="bottom"/>
          </w:tcPr>
          <w:p>
            <w:pPr>
              <w:ind w:left="440"/>
              <w:spacing w:after="0"/>
              <w:rPr>
                <w:sz w:val="20"/>
                <w:szCs w:val="20"/>
                <w:color w:val="auto"/>
              </w:rPr>
            </w:pPr>
            <w:r>
              <w:rPr>
                <w:rFonts w:ascii="Arial" w:cs="Arial" w:eastAsia="Arial" w:hAnsi="Arial"/>
                <w:sz w:val="14"/>
                <w:szCs w:val="14"/>
                <w:b w:val="1"/>
                <w:bCs w:val="1"/>
                <w:color w:val="auto"/>
              </w:rPr>
              <w:t>Type of AGAs</w:t>
            </w:r>
          </w:p>
        </w:tc>
        <w:tc>
          <w:tcPr>
            <w:tcW w:w="1420" w:type="dxa"/>
            <w:vAlign w:val="bottom"/>
          </w:tcPr>
          <w:p>
            <w:pPr>
              <w:jc w:val="right"/>
              <w:ind w:right="359"/>
              <w:spacing w:after="0"/>
              <w:rPr>
                <w:sz w:val="20"/>
                <w:szCs w:val="20"/>
                <w:color w:val="auto"/>
              </w:rPr>
            </w:pPr>
            <w:r>
              <w:rPr>
                <w:rFonts w:ascii="Arial" w:cs="Arial" w:eastAsia="Arial" w:hAnsi="Arial"/>
                <w:sz w:val="14"/>
                <w:szCs w:val="14"/>
                <w:b w:val="1"/>
                <w:bCs w:val="1"/>
                <w:color w:val="auto"/>
              </w:rPr>
              <w:t>allocated</w:t>
            </w:r>
          </w:p>
        </w:tc>
        <w:tc>
          <w:tcPr>
            <w:tcW w:w="1520" w:type="dxa"/>
            <w:vAlign w:val="bottom"/>
          </w:tcPr>
          <w:p>
            <w:pPr>
              <w:jc w:val="right"/>
              <w:ind w:right="119"/>
              <w:spacing w:after="0"/>
              <w:rPr>
                <w:sz w:val="20"/>
                <w:szCs w:val="20"/>
                <w:color w:val="auto"/>
              </w:rPr>
            </w:pPr>
            <w:r>
              <w:rPr>
                <w:rFonts w:ascii="Arial" w:cs="Arial" w:eastAsia="Arial" w:hAnsi="Arial"/>
                <w:sz w:val="14"/>
                <w:szCs w:val="14"/>
                <w:b w:val="1"/>
                <w:bCs w:val="1"/>
                <w:color w:val="auto"/>
              </w:rPr>
              <w:t>Subscription price</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auto"/>
              </w:rPr>
              <w:t>Acquisition period</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 de Garidel</w:t>
            </w:r>
          </w:p>
        </w:tc>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July-11-2023</w:t>
            </w: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Free Shares 2023-1</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1,382,796</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N/A</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Minimum of 1 year (*)</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jc w:val="right"/>
              <w:ind w:right="99"/>
              <w:spacing w:after="0"/>
              <w:rPr>
                <w:sz w:val="20"/>
                <w:szCs w:val="20"/>
                <w:color w:val="auto"/>
              </w:rPr>
            </w:pPr>
            <w:r>
              <w:rPr>
                <w:rFonts w:ascii="Arial" w:cs="Arial" w:eastAsia="Arial" w:hAnsi="Arial"/>
                <w:sz w:val="18"/>
                <w:szCs w:val="18"/>
                <w:color w:val="auto"/>
              </w:rPr>
              <w:t>1,382,796</w:t>
            </w:r>
          </w:p>
        </w:tc>
        <w:tc>
          <w:tcPr>
            <w:tcW w:w="152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14"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Acquisition Periods shall be as follows: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212,738 Free Shares 2023-1: the Acquisition Period shall end on the first (1st) anniversary of the allocation date;</w:t>
      </w:r>
    </w:p>
    <w:p>
      <w:pPr>
        <w:spacing w:after="0" w:line="130" w:lineRule="exact"/>
        <w:rPr>
          <w:rFonts w:ascii="Arial" w:cs="Arial" w:eastAsia="Arial" w:hAnsi="Arial"/>
          <w:sz w:val="18"/>
          <w:szCs w:val="18"/>
          <w:color w:val="auto"/>
        </w:rPr>
      </w:pPr>
    </w:p>
    <w:p>
      <w:pPr>
        <w:jc w:val="both"/>
        <w:ind w:left="1080" w:right="220" w:hanging="424"/>
        <w:spacing w:after="0" w:line="259" w:lineRule="auto"/>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638,214 Free Shares 2023-1: the Free Shares 2023-1 shall progressively be definitively acquired on a monthly basis over a period of three (3) years starting after the first (1st) anniversary of the allocation date (i.e. 17,728 Free Shares 2023-1 per month except for the last month of the three-year period where 17,734 Free Shares 2023-1 shall be acquired). The duration of the Acquisition Period of these Free Shares 2023-1 shall be calculated accordingly;</w:t>
      </w:r>
    </w:p>
    <w:p>
      <w:pPr>
        <w:spacing w:after="0" w:line="92"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212,738 Free Shares 2023-1: the Acquisition Period shall end on the latest date between (i) the first (1st) anniversary of the allocation date, and (ii) the date on which a specific performance condition is fulfilled (condition 1);</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106,369 Free Shares 2023-1: the Acquisition Period shall end on the latest date between (i) the first (1st) anniversary of the allocation date, and (ii) the date on which a specific performance condition is fulfilled (condition 2);</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106,369 Free Shares 2023-1: the Acquisition Period shall end on the latest date between (i) the first (1st) anniversary of the allocation date, and (ii) the date on which a specific performance condition is fulfilled (condition 3);</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106,368 Free Shares 2023-1: the Acquisition Period shall end on the first (1st) anniversary of the allocation date subject to the completion, prior to such date, of a specific performance condition (condition 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History of Awards of Share Warrants (BSA), Founder’s Share Warrants (BCE) and Free Shares (AGA)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history of the award of BSAs, BCEs and AGAs is set forth in the Section “Description of Share Capital.”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or Allocations to Pay Pensions, Retirement or Other Benefits for Directors and Management</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For the fiscal year ended December 31, 2022, none of the amounts set aside or accrued to provide pension, retirement or similar benefits to our employees was attributable to our administrative, supervisory or management bodies. We have not set aside any provisions to pay pensions, retirement and other benefits for corporate directors. The directors’ compensation does not include any profit-sharing plans.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Functioning of Governing and Management Bodies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Management</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are a French limited liability company with a board of directors (</w:t>
      </w:r>
      <w:r>
        <w:rPr>
          <w:rFonts w:ascii="Arial" w:cs="Arial" w:eastAsia="Arial" w:hAnsi="Arial"/>
          <w:sz w:val="16"/>
          <w:szCs w:val="16"/>
          <w:i w:val="1"/>
          <w:iCs w:val="1"/>
          <w:color w:val="auto"/>
        </w:rPr>
        <w:t>société anonyme à conseil d’administration</w:t>
      </w:r>
      <w:r>
        <w:rPr>
          <w:rFonts w:ascii="Arial" w:cs="Arial" w:eastAsia="Arial" w:hAnsi="Arial"/>
          <w:sz w:val="16"/>
          <w:szCs w:val="16"/>
          <w:color w:val="auto"/>
        </w:rPr>
        <w:t xml:space="preserve">). Since May 5, 2023, our Board has been chaired by our Chief Executive Officer, Mr. de Garidel, who represents us </w:t>
      </w:r>
      <w:r>
        <w:rPr>
          <w:rFonts w:ascii="Arial" w:cs="Arial" w:eastAsia="Arial" w:hAnsi="Arial"/>
          <w:sz w:val="16"/>
          <w:szCs w:val="16"/>
          <w:i w:val="1"/>
          <w:iCs w:val="1"/>
          <w:color w:val="auto"/>
        </w:rPr>
        <w:t>vis-à-vis</w:t>
      </w:r>
      <w:r>
        <w:rPr>
          <w:rFonts w:ascii="Arial" w:cs="Arial" w:eastAsia="Arial" w:hAnsi="Arial"/>
          <w:sz w:val="16"/>
          <w:szCs w:val="16"/>
          <w:color w:val="auto"/>
        </w:rPr>
        <w:t xml:space="preserve"> third parties in his capacity as Chief Executive Officer.</w:t>
      </w:r>
    </w:p>
    <w:p>
      <w:pPr>
        <w:spacing w:after="0" w:line="12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All members of the Board may serve for a maximum of four years, expiring at the end of the shareholders’ meeting called to approve the financial statements from the previous year and held during the year in which the term expires. Members of the Board may be re-elected. They may be dismissed at any time by a decision of the ordinary general meeting of shareholders.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fiscal year ended December 31, 2022, the Board met 18 times. The average attendance rate of the Directors was approximately 98%.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our Directors and Executive Officers</w:t>
      </w:r>
    </w:p>
    <w:p>
      <w:pPr>
        <w:spacing w:after="0" w:line="117"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For a discussion of our agreements with certain of our directors and executive officers, see “Certain Relationships and Related Person Transactions.” Except for the arrangements described in such section, there are no arrangements or understandings between us and any of our other executive officers or directors that provide for benefits upon termination of their employment, other than as required by applicable law.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Under French law, provisions of by-laws that limit the liability of directors are prohibited. However, French law allows </w:t>
      </w:r>
      <w:r>
        <w:rPr>
          <w:rFonts w:ascii="Arial" w:cs="Arial" w:eastAsia="Arial" w:hAnsi="Arial"/>
          <w:sz w:val="18"/>
          <w:szCs w:val="18"/>
          <w:i w:val="1"/>
          <w:iCs w:val="1"/>
          <w:color w:val="auto"/>
        </w:rPr>
        <w:t>sociétés anonyme</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Abivax SA. Criminal liability cannot be indemnified under French law, whether directly by us or through liability insurance.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maintain liability insurance for our directors and officers, including insurance against liability under the Securities Act and we intend to enter into agreements with our directors and executive officers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These agreements may discourage shareholders from bringing a lawsuit against our directors and executive officers for breach of their fiduciary duty. These provisions also may have the effect of reducing the likelihood of derivative litigation against directors and executive officers,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or partnerships, be insured and/or indemnified against certain liabilities in their capacity as members of our Board.</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ordinary shares (including in the form of ADSs) being registered hereby, the underwriters will agree to indemnify, under certain conditions, us, our directors, our officers and persons who control us within the meaning of the Securities Act against certain liabilities.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As of June 30, 2023, we had 34 full-time employees, consisting of 18 within the research and development department and 16 within the general administrative department. Our employees based in France are subject to the national collective bargaining agreement for the pharmaceutical industry (the </w:t>
      </w:r>
      <w:r>
        <w:rPr>
          <w:rFonts w:ascii="Arial" w:cs="Arial" w:eastAsia="Arial" w:hAnsi="Arial"/>
          <w:sz w:val="17"/>
          <w:szCs w:val="17"/>
          <w:i w:val="1"/>
          <w:iCs w:val="1"/>
          <w:color w:val="auto"/>
        </w:rPr>
        <w:t>convention collective nationale de l’industrie pharmaceutique</w:t>
      </w:r>
      <w:r>
        <w:rPr>
          <w:rFonts w:ascii="Arial" w:cs="Arial" w:eastAsia="Arial" w:hAnsi="Arial"/>
          <w:sz w:val="17"/>
          <w:szCs w:val="17"/>
          <w:color w:val="auto"/>
        </w:rPr>
        <w:t>). We believe that we maintain good relations with our employees. As of June 30, 2023, 25 full-time employees were based in France and nine full-time employees were based in the United States.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rely on skilled, experienced and innovative employees to conduct the operations of our company. We are committed to building an outstanding, committed team and we focus on a culture that values a focus on scientific innovation, inclusion, collaboration and equity. We focus on recruiting, retaining and developing employees from a diverse range of backgrounds to conduct our research, development, clinical, commercial, marketing and market access activities. We recognize that recruiting, motivating and retaining talented employees is vital to our success. The principal purposes of our equity and cash incentive plans are to attract, retain and reward personnel through the granting of stock-based and cash-based compensation awards, in order to increase shareholder value and the success of our company by motivating such individuals to perform to the best of their abilities and achieve our objectives. We aim to create an equitable, inclusive and empowering environment in which our employees can grow and advance their careers, with the overall goal of developing, expanding and retaining our workforce to support our current pipeline and future business goals. Employees are encouraged to attend scientific, clinical and technological meetings and conferences and have access to broad resources they need to be successful.</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40"/>
          </w:cols>
          <w:pgMar w:left="320" w:top="459" w:right="5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Since January 1, 2021, we have engaged in the following transactions with our directors, executive officers and holders of more than 5% of our outstanding voting securities and their affiliates, which we refer to as to our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Intra-Group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1, 2022, we acquired 100% of the share capital of Prosynergia S.à.r.L, a Luxembourg biotech company pursuant to the terms of a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 agreement entered into on November 15, 2021 (the “Prosynergia SPA”). On December 1, 2021, we granted a loan to Prosynergia,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€1,400,000. On December 12, 2022, we completed a merger with Prosynergia through a </w:t>
      </w:r>
      <w:r>
        <w:rPr>
          <w:rFonts w:ascii="Arial" w:cs="Arial" w:eastAsia="Arial" w:hAnsi="Arial"/>
          <w:sz w:val="16"/>
          <w:szCs w:val="16"/>
          <w:i w:val="1"/>
          <w:iCs w:val="1"/>
          <w:color w:val="auto"/>
        </w:rPr>
        <w:t>Transmission Universelle du Patrimoine</w:t>
      </w:r>
      <w:r>
        <w:rPr>
          <w:rFonts w:ascii="Arial" w:cs="Arial" w:eastAsia="Arial" w:hAnsi="Arial"/>
          <w:sz w:val="16"/>
          <w:szCs w:val="16"/>
          <w:color w:val="auto"/>
        </w:rPr>
        <w:t xml:space="preserve"> (“TUP”) and all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Prosynergia’s assets and liabilities were transferred to us. Following the merger, Prosynergia was dissolved.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with our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Securities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issued (i) 1,964,031 ordinary shares in a private placement on July 27, 2021; (ii) 5,530,000 ordinary shares in a private placement on September 7, 2022; and (iii) 20,000,000 ordinary shares in a private placement on February 23, 2023. The following table summarizes the ordinary shares acquired in connection with these offerings by our executive officers, directors and holders of more than 5% of our outstanding voting securities.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Entities affiliated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Entities</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Deep</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Sofinnova</w:t>
            </w:r>
          </w:p>
        </w:tc>
        <w:tc>
          <w:tcPr>
            <w:tcW w:w="9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TCG</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affiliated</w:t>
            </w:r>
          </w:p>
        </w:tc>
        <w:tc>
          <w:tcPr>
            <w:tcW w:w="9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with</w:t>
            </w:r>
          </w:p>
        </w:tc>
        <w:tc>
          <w:tcPr>
            <w:tcW w:w="96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With</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Track</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Invus</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Truffle Capital</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Crossover</w:t>
            </w: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Crossover</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Venrock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Private placement in 2021</w:t>
            </w:r>
          </w:p>
        </w:tc>
        <w:tc>
          <w:tcPr>
            <w:tcW w:w="240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Number of ordinary shares</w:t>
            </w: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purchased (#)</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261,865</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—    </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467,000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Purchase price per share (€)</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—    </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Private placement in 2022</w:t>
            </w:r>
          </w:p>
        </w:tc>
        <w:tc>
          <w:tcPr>
            <w:tcW w:w="2400" w:type="dxa"/>
            <w:vAlign w:val="bottom"/>
          </w:tcPr>
          <w:p>
            <w:pPr>
              <w:ind w:left="100"/>
              <w:spacing w:after="0" w:line="201" w:lineRule="exact"/>
              <w:rPr>
                <w:sz w:val="20"/>
                <w:szCs w:val="20"/>
                <w:color w:val="auto"/>
              </w:rPr>
            </w:pPr>
            <w:r>
              <w:rPr>
                <w:rFonts w:ascii="Arial" w:cs="Arial" w:eastAsia="Arial" w:hAnsi="Arial"/>
                <w:sz w:val="18"/>
                <w:szCs w:val="18"/>
                <w:color w:val="auto"/>
              </w:rPr>
              <w:t>Number of ordinary shares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purchased (#)</w:t>
            </w:r>
          </w:p>
        </w:tc>
        <w:tc>
          <w:tcPr>
            <w:tcW w:w="1380" w:type="dxa"/>
            <w:vAlign w:val="bottom"/>
            <w:gridSpan w:val="2"/>
          </w:tcPr>
          <w:p>
            <w:pPr>
              <w:jc w:val="right"/>
              <w:ind w:right="160"/>
              <w:spacing w:after="0" w:line="216" w:lineRule="exact"/>
              <w:rPr>
                <w:sz w:val="20"/>
                <w:szCs w:val="20"/>
                <w:color w:val="auto"/>
              </w:rPr>
            </w:pPr>
            <w:r>
              <w:rPr>
                <w:rFonts w:ascii="Arial" w:cs="Arial" w:eastAsia="Arial" w:hAnsi="Arial"/>
                <w:sz w:val="17"/>
                <w:szCs w:val="17"/>
                <w:color w:val="auto"/>
              </w:rPr>
              <w:t>197,000</w:t>
            </w:r>
            <w:r>
              <w:rPr>
                <w:rFonts w:ascii="Arial" w:cs="Arial" w:eastAsia="Arial" w:hAnsi="Arial"/>
                <w:sz w:val="25"/>
                <w:szCs w:val="25"/>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584,000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1,688,000</w:t>
            </w:r>
          </w:p>
        </w:tc>
        <w:tc>
          <w:tcPr>
            <w:tcW w:w="60" w:type="dxa"/>
            <w:vAlign w:val="bottom"/>
          </w:tcPr>
          <w:p>
            <w:pPr>
              <w:spacing w:after="0"/>
              <w:rPr>
                <w:sz w:val="18"/>
                <w:szCs w:val="18"/>
                <w:color w:val="auto"/>
              </w:rPr>
            </w:pPr>
          </w:p>
        </w:tc>
        <w:tc>
          <w:tcPr>
            <w:tcW w:w="1040" w:type="dxa"/>
            <w:vAlign w:val="bottom"/>
            <w:gridSpan w:val="2"/>
          </w:tcPr>
          <w:p>
            <w:pPr>
              <w:jc w:val="right"/>
              <w:ind w:right="160"/>
              <w:spacing w:after="0" w:line="216" w:lineRule="exact"/>
              <w:rPr>
                <w:sz w:val="20"/>
                <w:szCs w:val="20"/>
                <w:color w:val="auto"/>
              </w:rPr>
            </w:pPr>
            <w:r>
              <w:rPr>
                <w:rFonts w:ascii="Arial" w:cs="Arial" w:eastAsia="Arial" w:hAnsi="Arial"/>
                <w:sz w:val="17"/>
                <w:szCs w:val="17"/>
                <w:color w:val="auto"/>
                <w:w w:val="89"/>
              </w:rPr>
              <w:t>1,463,000</w:t>
            </w:r>
            <w:r>
              <w:rPr>
                <w:rFonts w:ascii="Arial" w:cs="Arial" w:eastAsia="Arial" w:hAnsi="Arial"/>
                <w:sz w:val="25"/>
                <w:szCs w:val="25"/>
                <w:color w:val="auto"/>
                <w:w w:val="89"/>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1,126,000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371,000</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w w:val="99"/>
              </w:rPr>
              <w:t>Purchase price per share (€)</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 placement in 2023</w:t>
            </w:r>
          </w:p>
        </w:tc>
        <w:tc>
          <w:tcPr>
            <w:tcW w:w="2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Number of ordinary shares</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purchased (#)</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1,535,000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2,650,000</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8"/>
                <w:szCs w:val="18"/>
                <w:color w:val="auto"/>
                <w:w w:val="84"/>
              </w:rPr>
              <w:t>1,150,000</w:t>
            </w:r>
            <w:r>
              <w:rPr>
                <w:rFonts w:ascii="Arial" w:cs="Arial" w:eastAsia="Arial" w:hAnsi="Arial"/>
                <w:sz w:val="26"/>
                <w:szCs w:val="26"/>
                <w:color w:val="auto"/>
                <w:w w:val="84"/>
                <w:vertAlign w:val="superscript"/>
              </w:rPr>
              <w:t>(3)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2,150,000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Purchase price per share (€)</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74"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197,000 ordinary shares subscribed by FCPI BioMedTech, which is controlled by Truffle Capital (“Truffle Capital” and together the “Truffle Entities”), itself controlled at 39.66% (of the share capital) respectively by Dr. Philippe Pouletty, a member of our Board, and</w:t>
      </w:r>
    </w:p>
    <w:p>
      <w:pPr>
        <w:ind w:left="540"/>
        <w:spacing w:after="0"/>
        <w:rPr>
          <w:rFonts w:ascii="Arial" w:cs="Arial" w:eastAsia="Arial" w:hAnsi="Arial"/>
          <w:sz w:val="17"/>
          <w:szCs w:val="17"/>
          <w:color w:val="auto"/>
        </w:rPr>
      </w:pPr>
      <w:r>
        <w:rPr>
          <w:rFonts w:ascii="Arial" w:cs="Arial" w:eastAsia="Arial" w:hAnsi="Arial"/>
          <w:sz w:val="18"/>
          <w:szCs w:val="18"/>
          <w:color w:val="auto"/>
        </w:rPr>
        <w:t>Mr. Bernard-Louis Roques. The principal business address of the Truffle Entities is 5 rue de la Baume, 75008, Paris, France.</w:t>
      </w:r>
    </w:p>
    <w:p>
      <w:pPr>
        <w:spacing w:after="0" w:line="9" w:lineRule="exact"/>
        <w:rPr>
          <w:rFonts w:ascii="Arial" w:cs="Arial" w:eastAsia="Arial" w:hAnsi="Arial"/>
          <w:sz w:val="17"/>
          <w:szCs w:val="17"/>
          <w:color w:val="auto"/>
        </w:rPr>
      </w:pPr>
    </w:p>
    <w:p>
      <w:pPr>
        <w:ind w:left="540" w:right="120" w:hanging="424"/>
        <w:spacing w:after="0" w:line="255"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Consists of (i) 1,039,900 ordinary shares subscribed by Venrock Healthcare Capital Partners EG, L.P. (“VHCP EG”), (ii) 384,623 ordinary shares subscribed by Venrock Healthcare Capital, Partners III, L.P. (“VHCP III”), and (iii) 38,477 ordinary shares subscribed by VHCP Co-Investment Holdings III, LLC</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(“VHCP Co-Investment”). VHCP EG, VHCP III and VHCP Co-Investment are controlled by Venrock (“Venrock” and together the “Venrock Entities”). Venrock Entities are controlled by Dr. Bong Koh and Nimish Shah. The principal business address of the Venrock Entities is 7, Bryant Park, 23rd Floor, New-York, NY 10018, United States.</w:t>
      </w:r>
    </w:p>
    <w:p>
      <w:pPr>
        <w:spacing w:after="0" w:line="3" w:lineRule="exact"/>
        <w:rPr>
          <w:sz w:val="20"/>
          <w:szCs w:val="20"/>
          <w:color w:val="auto"/>
        </w:rPr>
      </w:pPr>
    </w:p>
    <w:p>
      <w:pPr>
        <w:ind w:left="540" w:right="180" w:hanging="424"/>
        <w:spacing w:after="0" w:line="260"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Consists of (i) 817,420 ordinary shares subscribed by VHCP EG, (ii) 302,335 ordinary shares subscribed by VHCP III, and (iii) 30,245 ordinary shares subscribed by VHCP Co-Investment.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further issued 374 ordinary shares on November 9, 2020 to the benefit of Mr. Didier Blondel, our Chief Financial Officer and Board Secretary.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his exercise of 374 BCE-2017-1, he holds 374 ordinary shares at an issue price per share equal to €6.39.</w:t>
      </w:r>
    </w:p>
    <w:p>
      <w:pPr>
        <w:spacing w:after="0" w:line="211" w:lineRule="exact"/>
        <w:rPr>
          <w:sz w:val="20"/>
          <w:szCs w:val="20"/>
          <w:color w:val="auto"/>
        </w:rPr>
      </w:pPr>
    </w:p>
    <w:p>
      <w:pPr>
        <w:jc w:val="both"/>
        <w:ind w:left="120" w:right="680" w:firstLine="440"/>
        <w:spacing w:after="0" w:line="311" w:lineRule="auto"/>
        <w:rPr>
          <w:sz w:val="20"/>
          <w:szCs w:val="20"/>
          <w:color w:val="auto"/>
        </w:rPr>
      </w:pPr>
      <w:r>
        <w:rPr>
          <w:rFonts w:ascii="Arial" w:cs="Arial" w:eastAsia="Arial" w:hAnsi="Arial"/>
          <w:sz w:val="16"/>
          <w:szCs w:val="16"/>
          <w:color w:val="auto"/>
        </w:rPr>
        <w:t>We further issued royalty certificates on September 7, 2022 to each of FCPI BioMedTech, Deep Track Biotechnology Master Fund, Ltd., Sofinnova Crossover I SLP, TCG Crossover Fund I, L.P., Invus Public Equities, L.P., and VHCP III. The terms and conditions of these royalty certificates are further detailed in an exhibit to this registration statement for the global offering of which this prospectus forms a part.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Executive Officer Compensation</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parties to employment agreements and other compensation arrangements, including equity compensation arrangements, with our directors and executive officers in the ordinary course of business. See “Compensation and Benefits—Compensation of Chief Executive Officer” for information regarding compensation of the Directors and Executive Officers.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entered into employment agreements with each of our executive officers, except for our Chief Executive Officer, who is a corporate officer (mandataire social) with whom we have entered into a management contract.</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Our Chief Executive Officer has been appointed for a term lasting until the end of the Board meeting following the general meeting of shareholders held to approve the financial statements for the year ending December 31, 2026. He has also been appointed as Chairman of the Board for a term lasting until the end of the Board meeting following the general meeting of shareholders held to approve the financial statements for the year ending December 31, 2024. In case of termination of the Chief Executive Officer as a result of (i) non-renewal, (ii) revocation except for gross negligence or willful misconduct and/or (iii) resignation justified by invalidity or health issues or Mr. de Garidel’s definitive retirement (a “Qualifying Departure”), Mr. de Garidel shall be entitled to a severance payment equal to 12 months of the higher of either (i) the monthly average fixed remuneration and variable remuneration received by Mr. de Garidel during the 12-month period preceding the effective date of the Qualifying Departure, or (ii) the monthly average fixed remuneration received by Mr. de Garidel during the 12-month period preceding the effective date of the Qualifying Departure plus 1/12th of the variable remuneration for the financial year immediately preceding the date of the Qualifying Departure, irrespective of the date of payment of that variable remuneration.</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February 2023, we entered into an offer letter with Dr. Sloan. Dr. Sloan may terminate his employment with us without good reason (as defined in his offer letter), and we may terminate his employment with us without cause (as defined in his offer letter) upon four months of notice. If Dr. Sloan’s employment is terminated by us without cause or Dr. Sloan resigns with good reason (as defined in his offer letter), then he will be entitled to receive severance pay in an amount equal to (i) six months of his then-current base compensation, (ii) prorated portion of the variable compensation and (iii) any premiums for healthcare plans provided by us (including any eligible COBRA coverage) for the earlier of a period of six months from the date of termination and the date on which Dr. Sloan becomes eligible to receive such benefits with a new employer. The offer letter also includes a non-competition provision lasting during and for six months following his employment with us.</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April 2023, we entered into an offer letter with Mr. Ferguson. Mr. Ferguson may terminate his employment with us without good reason (as defined in his offer letter), and we may terminate his employment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with us without cause (as defined in his offer letter) upon four months of notice. If Mr. Ferguson’s employment is terminated by us without cause or Mr. Ferguson resigns with good reason (as defined in his offer letter), then he will be entitled to receive severance pay in an amount equal to (i) six months of his then-current base compensation, (ii) prorated portion of the variable compensation and (iii) any premiums for healthcare plans provided by us (including any eligible COBRA coverage) for the earlier of a period of six months from the date of termination and the date on which Mr. Ferguson becomes eligible to receive such benefits with a new employer. The offer letter also includes a non-competition provision lasting during and for six months following his employment with us.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of our executive officers has agreed to maintain the confidentiality of any confidential information, both during and after the employment/management agreement expires or is earlier terminated. In addition, they are subject to loyalty and confidentiality obligations and certain of them are bound by a non-solicitation covenant that prohibits such executive officer from soliciting our customers, or soliciting or hiring our executive employees and those of our employees working in the same team as our executive officer, during his or her employment/office and for one year after the termination of his or her employment/office.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January 1, 2021, we have not granted any share warrants (BSA) or founder’s share warrants (BCE) to employees, consultants or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Assignment</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July 7, 2021, we entered into an intellectual property assignment agreement with Hartmut Ehrlich, who served as our Chief Executive Officer until May 5, 2023. The purpose of this agreement is to transfer to us all the intellectual property rights held by Dr. Hartmut Ehrlich on certain patents of which he is a co-inventor. No compensation has been paid in respect of this transfer.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Shares (attributions gratuites d’actions)</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During the year ended December 31, 2022, Dr. Hartmut Ehrlich received long-term remuneration in the form of a grant of free shares. As of June 30, 2023, all of these free shares have become null and void, as the performance conditions applicable to such free shares have not been met.</w:t>
      </w:r>
    </w:p>
    <w:p>
      <w:pPr>
        <w:spacing w:after="0" w:line="12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further entered into a transition protocol with Dr. Hartmut Ehrlich, our previous Chief Executive Officer, according to which he was granted by a Board decision on July 11, 2023 100,000 free shares that are subject to the achievement of specific performance conditions.</w:t>
      </w:r>
    </w:p>
    <w:p>
      <w:pPr>
        <w:spacing w:after="0" w:line="14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Moreover, pursuant to a Board decision on July 11, 2023, we have allocated a total number of 1,382,796 free shares (AGA) to Mr. Marc de Garidel, as our current Chief Executive Officer, to which performance conditions and presence conditions apply. In particular, 106,369 out of these 1,382,796 free shares (AGA) are subject to an additional vesting condition of the successful completion of this offering raising at least $100 million in gross proceeds.</w:t>
      </w:r>
    </w:p>
    <w:p>
      <w:pPr>
        <w:spacing w:after="0" w:line="18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 September 28, 2023, certain of our officers and employees were allocated 985,750 free shares (AGA) in the aggregate, the vesting of which is subject to certain conditions. Subject to remaining employed with us, each such officer or employee’s free shares (AGA) will be vested as follows: (i) 50% at the end of a two-year period from the allocation date, (ii) 25% at the end of a three-year period from the allocation date and (iii) 25% at the end of a four-year period from the allocation date. Of the 985,750 free shares (AGA), 254,250 free shares (AGA) are subject to an additional vesting condition of the successful completion of this offering raising at least $200 million in gross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Transition Protocol</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light of Dr. Hartmut Ehrlich’s upcoming retirement and in order to ensure a smooth transition with our new Chief Executive Officer and protect our interests, the Board approved, during its meeting on April 18, 2023, the entering into a transition protocol with Dr. Hartmut Ehrlich which provides that Dr. Hartmut Ehrlich will:</w:t>
      </w:r>
    </w:p>
    <w:p>
      <w:pPr>
        <w:spacing w:after="0" w:line="89"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be entitled to the payment of a departure indemnity equal to €1,209,825;</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agree to be bound by a non-compete undertaking for a duration of twelve months following the termination of his role as Chief Executive Officer (not compensated);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remain our employee on a part-time basis until December 31, 2023 in a capacity as advisor to the new Chief Executive Officer against payment of a total compensation of €100,000;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be eligible to receive up to 100,000 free shares depending on the achievement of specific performance conditions.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entered into this transition protocol on April 18, 2023.</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payment of Dr. Hartmut Ehrlich’s departure indemnity will be subject to shareholders’ approval pursuant to Article L. 22-10-34 of the French Commercial Code. The entering into the transition protocol is subject to the procedure applicable to related-party agreements.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comply with French law regarding approval of transactions with related parties. In particular, in accordance with article L.225-38 and seq. of the French Commercial Code, transactions with our general managers, directors, shareholders holding more than 10% of the voting rights of the company and any company controlling a shareholder holding more than 10% of our voting rights, other than transactions in the ordinary course of business and at arm’s length, are (i) subject to a prior approval by the Board, (ii) reported to the statutory auditors who must then prepare a report on such transaction, and (iii) ratified by the our shareholders at the annual general meeting.</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we have adopted a related-party transaction policy that sets forth our procedures for the identification, review, consideration and approval or ratification of related-party transactions. For purposes of our policy only, a related-party transaction is defined as (1) any individual or series of financial transactions, arrangements or relationships (including any indebtedness or guarantee of indebtedness), in which we and any related parties are, were or will be participants, or otherwise have a direct or indirect interest, or (2) any agreement or similar transaction under French law which falls within the scope of Article L. 225-38 of the French Commercial Code. For purposes of this policy, a related party is any person who is or at any time since the beginning of the our last fiscal year was, a director, director nominee, executive officer, beneficial owner of more than 5% of any class of our voting securities or any immediate family member(s) of the foregoing persons, or any firm, corporation or other entity in which any of the foregoing persons is employed or is a partner or principal or in a similar position or in which such person has more than a 5% beneficial ownership interest. Under the policy, related-party transactions must be reported to us by the relevant related parties. If a transaction has been identified as a related-party transaction, management must present information regarding the related-party transaction to our Board for review, consideration and approval or ratification. Regarding certain transactions, our Board may appoint an independent expert whenever the signing of a related person transaction is likely to have a material impact on our balance sheet or results. In this case, this expert review will be mentioned in the special report of the statutory auditors and disclosed to the public subject, as the case may be, to any information likely to adversely affect trade secret. Our Board may also seek the opinion of the audit committee and/or of the independent statutory auditors if there is any doubt about the qualification of a related person transaction subject to his evaluation. When submitted to our Board’s review, the persons who have a direct or indirect interest in the transaction shall not participate in its review.</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ordinary shares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2023 for:</w:t>
      </w:r>
    </w:p>
    <w:p>
      <w:pPr>
        <w:spacing w:after="0" w:line="116"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beneficial owner, known by us, of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September 30, 2023. The percentage ownership information shown in the table prior to the global offering is based upon 42,569,216 ordinary shares outstanding as of September 30, 2023 (excluding 11,152 treasury shares issued by us as of September 30, 2023). The percentage ownership information shown in the table after the global offering is based upon ordinary shares outstanding (excluding 11,152 treasury shares issued by us as of September 30, 2023), assuming the sale of ordinary shares (which may be in the form of ADSs) by us in the global offering and no exercise of the underwriters’ option to purchase additional ADSs and/or ordinary shares. The percentage ownership information shown in the table after the global offering if the underwriters’ option to purchase additional ADSs and/or ordinary shares is exercised in full is based upon ordinary shares outstanding (excluding 11,152 treasury shares issued by us as of September 30, 2023), assuming the sale of ordinary shares (which may be in the form of ADSs) by us in the global offering and the exercise in full of the underwriters’ option to purchase additional ADSs and/or ordinary shares.</w:t>
      </w:r>
    </w:p>
    <w:p>
      <w:pPr>
        <w:spacing w:after="0" w:line="16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Except as otherwise indicated, the table below does not reflect any ordinary shares that may be purchased in the global offering,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computing the number of ordinary shares beneficially owned by a person and the percentage ownership of that person, we deemed outstanding ordinary shares subject to options and warrants held by that person that are immediately exercisable or exercisable within 60 days of September 30, 2023. We did not deem these shares outstanding, however, for the purpose of computing the percentage ownership of any other person. Beneficial ownership representing less than 1% is denoted with an asterisk (*).</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information in the table below is based on information known to us or ascertained by us from public filings made by the shareholders (which may be in the form of ADSs). Except as otherwise indicated in the table below, addresses of the directors, executive officers and named beneficial owners are in care of Abivax SA, 7-11 boulevard Haussmann, 75009 Paris, France. Our major shareholders do not have any special voting rights.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204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0"/>
              </w:rPr>
              <w:t>Percentage of</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Ordinary</w:t>
            </w:r>
          </w:p>
        </w:tc>
        <w:tc>
          <w:tcPr>
            <w:tcW w:w="204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40" w:type="dxa"/>
            <w:vAlign w:val="bottom"/>
            <w:gridSpan w:val="4"/>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Ordinary</w:t>
            </w: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204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40" w:type="dxa"/>
            <w:vAlign w:val="bottom"/>
            <w:gridSpan w:val="4"/>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178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2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40" w:type="dxa"/>
            <w:vAlign w:val="bottom"/>
            <w:gridSpan w:val="4"/>
            <w:vMerge w:val="continue"/>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Owned</w:t>
            </w: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Voting Power+</w:t>
            </w:r>
          </w:p>
        </w:tc>
        <w:tc>
          <w:tcPr>
            <w:tcW w:w="2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2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5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560" w:type="dxa"/>
            <w:vAlign w:val="bottom"/>
            <w:tcBorders>
              <w:bottom w:val="single" w:sz="8" w:color="auto"/>
            </w:tcBorders>
            <w:gridSpan w:val="3"/>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6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020" w:type="dxa"/>
            <w:vAlign w:val="bottom"/>
            <w:gridSpan w:val="2"/>
            <w:vMerge w:val="restart"/>
          </w:tcPr>
          <w:p>
            <w:pPr>
              <w:jc w:val="center"/>
              <w:ind w:right="428"/>
              <w:spacing w:after="0"/>
              <w:rPr>
                <w:sz w:val="20"/>
                <w:szCs w:val="20"/>
                <w:color w:val="auto"/>
              </w:rPr>
            </w:pPr>
            <w:r>
              <w:rPr>
                <w:rFonts w:ascii="Arial" w:cs="Arial" w:eastAsia="Arial" w:hAnsi="Arial"/>
                <w:sz w:val="14"/>
                <w:szCs w:val="14"/>
                <w:b w:val="1"/>
                <w:bCs w:val="1"/>
                <w:color w:val="auto"/>
                <w:w w:val="90"/>
              </w:rPr>
              <w:t>Before</w:t>
            </w:r>
          </w:p>
        </w:tc>
        <w:tc>
          <w:tcPr>
            <w:tcW w:w="10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After</w:t>
            </w: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Before</w:t>
            </w: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line="20" w:lineRule="exact"/>
              <w:rPr>
                <w:sz w:val="1"/>
                <w:szCs w:val="1"/>
                <w:color w:val="auto"/>
              </w:rPr>
            </w:pPr>
          </w:p>
        </w:tc>
      </w:tr>
      <w:tr>
        <w:trPr>
          <w:trHeight w:val="148"/>
        </w:trPr>
        <w:tc>
          <w:tcPr>
            <w:tcW w:w="16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Before</w:t>
            </w: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360" w:type="dxa"/>
            <w:vAlign w:val="bottom"/>
            <w:vMerge w:val="restart"/>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Global</w:t>
            </w:r>
          </w:p>
        </w:tc>
        <w:tc>
          <w:tcPr>
            <w:tcW w:w="1020" w:type="dxa"/>
            <w:vAlign w:val="bottom"/>
            <w:gridSpan w:val="2"/>
          </w:tcPr>
          <w:p>
            <w:pPr>
              <w:jc w:val="center"/>
              <w:ind w:right="428"/>
              <w:spacing w:after="0" w:line="149" w:lineRule="exact"/>
              <w:rPr>
                <w:sz w:val="20"/>
                <w:szCs w:val="20"/>
                <w:color w:val="auto"/>
              </w:rPr>
            </w:pPr>
            <w:r>
              <w:rPr>
                <w:rFonts w:ascii="Arial" w:cs="Arial" w:eastAsia="Arial" w:hAnsi="Arial"/>
                <w:sz w:val="14"/>
                <w:szCs w:val="14"/>
                <w:b w:val="1"/>
                <w:bCs w:val="1"/>
                <w:color w:val="auto"/>
                <w:w w:val="91"/>
              </w:rPr>
              <w:t>Global</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Global</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Global</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9"/>
              </w:rPr>
              <w:t>Offering</w:t>
            </w:r>
          </w:p>
        </w:tc>
        <w:tc>
          <w:tcPr>
            <w:tcW w:w="1020" w:type="dxa"/>
            <w:vAlign w:val="bottom"/>
            <w:gridSpan w:val="2"/>
          </w:tcPr>
          <w:p>
            <w:pPr>
              <w:jc w:val="center"/>
              <w:ind w:right="428"/>
              <w:spacing w:after="0" w:line="158" w:lineRule="exact"/>
              <w:rPr>
                <w:sz w:val="20"/>
                <w:szCs w:val="20"/>
                <w:color w:val="auto"/>
              </w:rPr>
            </w:pPr>
            <w:r>
              <w:rPr>
                <w:rFonts w:ascii="Arial" w:cs="Arial" w:eastAsia="Arial" w:hAnsi="Arial"/>
                <w:sz w:val="14"/>
                <w:szCs w:val="14"/>
                <w:b w:val="1"/>
                <w:bCs w:val="1"/>
                <w:color w:val="auto"/>
                <w:w w:val="95"/>
              </w:rPr>
              <w:t>Offering</w:t>
            </w:r>
          </w:p>
        </w:tc>
        <w:tc>
          <w:tcPr>
            <w:tcW w:w="10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9"/>
              </w:rPr>
              <w:t>Offering</w:t>
            </w:r>
          </w:p>
        </w:tc>
        <w:tc>
          <w:tcPr>
            <w:tcW w:w="10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9"/>
              </w:rPr>
              <w:t>Offering</w:t>
            </w:r>
          </w:p>
        </w:tc>
        <w:tc>
          <w:tcPr>
            <w:tcW w:w="7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Shareholders:</w:t>
            </w: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TCG Crossover(1)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4,956,596</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11.64%</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7.88%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managed by Truffle Capital(2)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4,677,069</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10.99%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Sofinnova Crossover(3)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4,064,739</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9.55%</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6.46%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11.58%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Invus(4)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4,034,364</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9.48%</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Deep Track Capital(5)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2,675,238</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6.28%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4.25%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5.39%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Venrock(6)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2,613,000</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6.14%</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Directors and Officers: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de Garidel(7)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38,145</w:t>
            </w: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Didier Blondel(8)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67,374</w:t>
            </w:r>
          </w:p>
        </w:tc>
        <w:tc>
          <w:tcPr>
            <w:tcW w:w="10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Courteille(9)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67,374</w:t>
            </w: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Didier Scherrer(10)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35,773</w:t>
            </w:r>
          </w:p>
        </w:tc>
        <w:tc>
          <w:tcPr>
            <w:tcW w:w="10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Sheldon Sloan</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Michael Ferguson</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Lee</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Troy Ignelzi</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L. Brosgart(11)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16,400</w:t>
            </w:r>
          </w:p>
        </w:tc>
        <w:tc>
          <w:tcPr>
            <w:tcW w:w="1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Corinna zur Bonsen-Thomas(12)</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16,400</w:t>
            </w:r>
          </w:p>
        </w:tc>
        <w:tc>
          <w:tcPr>
            <w:tcW w:w="10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Kinam Hong (representing Sofinnova Partners)(13)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4,064,739</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9.55%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Paolo Rampulla (representing Santé Holdings SRL)(14)</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838,465</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1.97%</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Pouletty (representing Truffle Capital)(15)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4,952,069</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11.63%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(13 persons)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10,096,739</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23.72%</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16.05%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33.73%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9"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540" w:right="540" w:hanging="424"/>
        <w:spacing w:after="0" w:line="221" w:lineRule="auto"/>
        <w:tabs>
          <w:tab w:leader="none" w:pos="5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 double voting right is attached to each registered ordinary share (except treasury share) that is held in the name of the same shareholder for at least two years. For additional information, see “Description of Share Capital—Attendance and Voting at Shareholders’ Meetings.”</w:t>
      </w:r>
    </w:p>
    <w:p>
      <w:pPr>
        <w:spacing w:after="0" w:line="1" w:lineRule="exact"/>
        <w:rPr>
          <w:sz w:val="20"/>
          <w:szCs w:val="20"/>
          <w:color w:val="auto"/>
        </w:rPr>
      </w:pPr>
    </w:p>
    <w:p>
      <w:pPr>
        <w:ind w:left="540" w:right="20" w:hanging="424"/>
        <w:spacing w:after="0" w:line="221"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These securities are held by TCG Crossover Fund I, L.P. (“TCG Crossover I”). TCG Crossover GP I, LLC (“TCG Crossover GP I”) is the general partner of TCG Crossover I. Chen Yu is the sole managing member of TCG Crossover GP I and holds voting and dispositive power with respect to the securities held by TCG Crossover I. The principal business address of each of TCG Crossover GP I, TCG Crossover I and Dr. Yu is 705 High St., Palo Alto, CA 94301, United States.</w:t>
      </w:r>
    </w:p>
    <w:p>
      <w:pPr>
        <w:ind w:left="540" w:right="20" w:hanging="424"/>
        <w:spacing w:after="0" w:line="241" w:lineRule="auto"/>
        <w:tabs>
          <w:tab w:leader="none" w:pos="5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Consists of (i) 2,213,333 ordinary shares held by FCPR Truffle Capital II (“Truffle Capital II”), (ii) 1,164,858 ordinary shares held by FCPI UFF Innovation 7 (“UFF Innovation 7”), (iii) 119,000 ordinary shares held by FCPI UFF Innovation 15 (“UFF Innovation 15”), (iv) 171,600 ordinary shares held by FCPI Fortune 4 (“FCPI Fortune 4”), (v) 91,973 ordinary shares held by FCPI Fortune 3 (“FCPI Fortune 3”), (vi) 157,100 ordinary shares held by FCPI UFF Innovation 12 (“UFF Innovation 12”), (vii) 193,900 ordinary shares held by FCPI UFF Innovation 8 (“UFF Innovation 8”), (viii) 103,400 ordinary shares held by FCPI UFF Innovation 14 (“UFF Innovation 14”), (ix) 84,983 ordinary shares held by FCPI Truffle Fortune 5 (“FCPI Fortune 5”), (x) 54,120 ordinary shares held by FCPI UFF Innovation 16 (“UFF Innovation 16”), (xi) 28,263 ordinary shares held by FCPI Truffle Fortune 6 (“FCPI Fortune 6”), (xii) 23,493 ordinary shares held by FCPI UFF Innovation 17 (“UFF Innovation 17”), (xiii) 16,394 ordinary shares held by FCPI Truffle Innocroissance 2015 (“Truffle Innocroissance 2015”), (xiv) 36,400 ordinary shares held by Truffle Developpement (“Truffle Developpement”), (xv) 21,252 ordinary shares held by FCPI Truffle Innocroissance 2018 (“Truffle Innocroissance 2018”) and (xvi) 197,000 ordinary shares held by FCPI BioMedTech (“BioMedTech”). Truffle Capital II, UFF Innovation 7, UFF Innovation 15, FCPI Fortune 4, FCPI Fortune 3, UFF Innovation 12, UFF Innovation 8, UFF Innovation 14, FCPI Fortune 5, UFF Innovation 16, FCPI Fortune 6, UFF Innovation 17, Truffle Innocroissance 2015, Truffle Developpement, Truffle Innocroissance 2018 and BioMedTech are managed by Truffle Capital (“Truffle Capital” and together the “Truffle Entities”), itself controlled at 36.85% (of the share capital) respectively by Dr. Philippe Pouletty, a member of our Board, and Mr. Bernard-Louis Roques. The principal business address of the Truffle Entities is 5 rue de la Baume, 75008, Paris, France.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line="224"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4,064,739 ordinary shares held by Sofinnova Crossover I SLP (“Sofinnova Crossover”). Sofinnova Crossover is controlled by Sofinnova Partners (“Sofinnova Partners” and together the “Sofinnova Entities”). Each of Antoine Papiernik, Cedric Moreau, Kinam Hong, a member of our Board, Joseph Anderson and Jacques Theurillat is a member of the investment committee of Sofinnova Crossover and may be deemed to have shared voting and investment control over the shares held by Sofinnova Crossover. Each of such individuals disclaims beneficial ownership of such shares except to the extent of their pecuniary interest therein. The principal business address of the Sofinnova Entities is 7-11 boulevard Haussmann, 75009 Paris, France.</w:t>
      </w:r>
    </w:p>
    <w:p>
      <w:pPr>
        <w:spacing w:after="0" w:line="3" w:lineRule="exact"/>
        <w:rPr>
          <w:rFonts w:ascii="Arial" w:cs="Arial" w:eastAsia="Arial" w:hAnsi="Arial"/>
          <w:sz w:val="14"/>
          <w:szCs w:val="14"/>
          <w:color w:val="auto"/>
        </w:rPr>
      </w:pPr>
    </w:p>
    <w:p>
      <w:pPr>
        <w:ind w:left="540" w:right="6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4,034,364 ordinary shares directly held by Invus Public Equities, L.P. (“Invus PE”). Invus Public Equities Advisors, LLC (“Invus PE Advisors”), controls Invus PE, as its general partner and accordingly, may be deemed to beneficially own the ordinary shares held by Invus PE. The Geneva branch of Artal International S.C.A. (“Artal International”), controls Invus PE Advisors, as its managing member and accordingly, may be deemed to beneficially own the ordinary shares held by Invus PE. Artal International Management S.A. (“Artal International Management”), as the managing partner of Artal International, controls Artal International and accordingly, may be deemed to beneficially own the ordinary shares that Artal International may be deemed to beneficially own. Artal Group S.A. (“Artal Group”), as the sole stockholder of Artal International Management, controls Artal International Management and accordingly, may be deemed to beneficially own the ordinary shares that Artal International Management may be deemed to beneficially own. Westend S.A. (“Westend”), as the parent company of Artal Group, controls Artal Group and accordingly, may be deemed to beneficially own the ordinary shares that Artal Group may be deemed to beneficially own. Stichting Administratiekantoor Westend (the “Stichting”), as majority shareholder of Westend, controls Westend and accordingly, may be deemed to beneficially own the ordinary shares that Westend may be deemed to beneficially own. Mr. Amaury Wittouck, as the sole member of the board of Stichting, controls the Stichting and accordingly, may be deemed to beneficially own the ordinary shares that the Stichting may be deemed to beneficially own. The principal business address for Invus PE and Invus PE Advisors is 750 Lexington Avenue, 30th Floor, New York, NY 10022. The principal business address for Artal International, Artal International Management, Artal Group, Westend and Mr. Wittouck is Valley Park, 44, Rue de la Vallée, L-2661, Luxembourg. The principal business address for the Stichting is Claude Debussylaan, 46, 1082 MD Amsterdam, the Netherlands.</w:t>
      </w:r>
    </w:p>
    <w:p>
      <w:pPr>
        <w:spacing w:after="0" w:line="3" w:lineRule="exact"/>
        <w:rPr>
          <w:rFonts w:ascii="Arial" w:cs="Arial" w:eastAsia="Arial" w:hAnsi="Arial"/>
          <w:sz w:val="14"/>
          <w:szCs w:val="14"/>
          <w:color w:val="auto"/>
        </w:rPr>
      </w:pPr>
    </w:p>
    <w:p>
      <w:pPr>
        <w:ind w:left="540" w:right="6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2,675,238 ordinary shares held by Deep Track Biotechnology Master Fund, Ltd. (“Deep Track Fund”) acting on behalf of funds it manages. Deep Track Fund is controlled by Deep Track Capital GP, LLC. The latter is controlled by Mr. David Kroin who is also its managing member. The principal business address of the Deep Track Entities is 200 Greenwich Avenue 3rd Floor, Greenwich, CT 06830, United States.</w:t>
      </w:r>
    </w:p>
    <w:p>
      <w:pPr>
        <w:ind w:left="540" w:right="2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(i) 1,857,320 ordinary shares held by Venrock Healthcare Capital Partners EG, L.P. (“VHCP EG”), (ii) 686,958 ordinary shares held by Venrock Healthcare Capital, Partners III, L.P. (“VHCP III”) and (iii) 68,722 ordinary shares held by VHCP Co-Investment Holdings III, LLC (“VHCP Co-Investment”). VHCP Management III, LLC (“VHCPM”) is the sole general partner of VHCP III and the sole manager of VHCP Co-Investment. VHCP Management EG, LLC (“VHCPM EG”) is the sole general partner of VHCP EG. Dr. Bong Koh and Nimish Shah are the voting members of VHCPM and VHCPM EG. The principal business address of the Venrock Entities is 7 Bryant Park, 23rd Floor, New York, NY 10018, United States.</w:t>
      </w:r>
    </w:p>
    <w:p>
      <w:pPr>
        <w:spacing w:after="0" w:line="1"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38,145 ordinary shares held as of September 30, 2023.</w:t>
      </w:r>
    </w:p>
    <w:p>
      <w:pPr>
        <w:ind w:left="540" w:right="50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(a) 374 ordinary shares held as of September 30, 2023 and (b) up to 67,000 ordinary shares issuable upon the exercise of options and warrants that are immediately exercisable or exercisable within 60 days of September 30, 2023.</w:t>
      </w:r>
    </w:p>
    <w:p>
      <w:pPr>
        <w:ind w:left="540" w:right="56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(a) one ordinary share held as of September 30, 2023 and (b) up to 67,373 ordinary shares issuable upon the exercise of options and warrants that are immediately exercisable or exercisable within 60 days of September 30, 2023.</w:t>
      </w:r>
    </w:p>
    <w:p>
      <w:pPr>
        <w:ind w:left="54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35,773 ordinary shares held as of September 30, 2023.</w:t>
      </w:r>
    </w:p>
    <w:p>
      <w:pPr>
        <w:ind w:left="540" w:hanging="424"/>
        <w:spacing w:after="0"/>
        <w:tabs>
          <w:tab w:leader="none" w:pos="5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Consists of up to 16,400 ordinary shares issuable upon the exercise of options and warrants that are immediately exercisable or exercisable within 60 days of September 30, 2023.</w:t>
      </w:r>
    </w:p>
    <w:p>
      <w:pPr>
        <w:ind w:left="540" w:hanging="424"/>
        <w:spacing w:after="0"/>
        <w:tabs>
          <w:tab w:leader="none" w:pos="5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Consists of up to 16,400 ordinary shares issuable upon the exercise of options and warrants that are immediately exercisable or exercisable within 60 days of September 30, 2023.</w:t>
      </w:r>
    </w:p>
    <w:p>
      <w:pPr>
        <w:ind w:left="540" w:right="80" w:hanging="424"/>
        <w:spacing w:after="0" w:line="238" w:lineRule="auto"/>
        <w:tabs>
          <w:tab w:leader="none" w:pos="5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Consists of 4,064,739 ordinary shares held by Sofinnova Crossover, as described in footnote 4 above. Kinam Hong, a member of our Board, is a member of the investment committee of Sofinnova Crossover and may be deemed to have shared voting and investment control over the shares held by Sofinnova Crossover, as described in footnote 4 above.</w:t>
      </w:r>
    </w:p>
    <w:p>
      <w:pPr>
        <w:ind w:left="540" w:right="24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(a) 741,541 ordinary shares held as of September 30, 2023 and (b) up to 96,924 ordinary shares issuable upon the exercise of options and warrants that are immediately exercisable or exercisable within 60 days of September 30, 2023.</w:t>
      </w:r>
    </w:p>
    <w:p>
      <w:pPr>
        <w:ind w:left="540" w:hanging="424"/>
        <w:spacing w:after="0" w:line="221"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(a) 275,000 ordinary shares held as of September 30, 2023 and (b) 4,677,069 ordinary shares held by the Truffle Entities, as described in footnote 1 above.</w:t>
      </w:r>
    </w:p>
    <w:p>
      <w:pPr>
        <w:ind w:left="540" w:right="40"/>
        <w:spacing w:after="0" w:line="237" w:lineRule="auto"/>
        <w:rPr>
          <w:rFonts w:ascii="Arial" w:cs="Arial" w:eastAsia="Arial" w:hAnsi="Arial"/>
          <w:sz w:val="14"/>
          <w:szCs w:val="14"/>
          <w:color w:val="auto"/>
        </w:rPr>
      </w:pPr>
      <w:r>
        <w:rPr>
          <w:rFonts w:ascii="Arial" w:cs="Arial" w:eastAsia="Arial" w:hAnsi="Arial"/>
          <w:sz w:val="14"/>
          <w:szCs w:val="14"/>
          <w:color w:val="auto"/>
        </w:rPr>
        <w:t>Dr. Philippe Pouletty, a member of our Board, controls Truffle Capital and may be deemed to have shared voting and investment control over the shares held by the Truffle Entities, as described in footnote 1 above.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registered at the Paris Trade and Company Register on December 27, 2013 for a period of 99 years until December 22, 2112, subject to extension or early dissolution, under the number</w:t>
      </w:r>
    </w:p>
    <w:p>
      <w:pPr>
        <w:ind w:left="120" w:right="180"/>
        <w:spacing w:after="0" w:line="281" w:lineRule="auto"/>
        <w:rPr>
          <w:sz w:val="20"/>
          <w:szCs w:val="20"/>
          <w:color w:val="auto"/>
        </w:rPr>
      </w:pPr>
      <w:r>
        <w:rPr>
          <w:rFonts w:ascii="Arial" w:cs="Arial" w:eastAsia="Arial" w:hAnsi="Arial"/>
          <w:sz w:val="16"/>
          <w:szCs w:val="16"/>
          <w:color w:val="auto"/>
        </w:rPr>
        <w:t>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+33 (0) 1 53 83 08 41.</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Arial" w:cs="Arial" w:eastAsia="Arial" w:hAnsi="Arial"/>
          <w:sz w:val="18"/>
          <w:szCs w:val="18"/>
          <w:i w:val="1"/>
          <w:iCs w:val="1"/>
          <w:color w:val="auto"/>
        </w:rPr>
        <w:t>Greffe du Registre du</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of Paris, France or our corporate headquarters and are filed as an exhibit to this registration statement for the global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this prospectus forms a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Capital History</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of June 30, 2023, our share capital amounted to €425,475.68 and is divided into 42,547,568 ordinary shares of €0.01 par value each after taking into account: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PAR VALUE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AMOUNT OF PAID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UP CAPITAL</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42,547,568</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425,475.68</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42,547,568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0.01</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425,475.68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All of the shares are fully subscribed and paid. As of the date of this prospectus, we have not issued securities that do not represent our share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the changes in our share capital over the last three fiscal years.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number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10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Prior Share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0"/>
              </w:rPr>
              <w:t>shares</w:t>
            </w:r>
          </w:p>
        </w:tc>
        <w:tc>
          <w:tcPr>
            <w:tcW w:w="112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89"/>
              </w:rPr>
              <w:t>shares after</w:t>
            </w: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Nominal</w:t>
            </w:r>
          </w:p>
        </w:tc>
        <w:tc>
          <w:tcPr>
            <w:tcW w:w="116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Capital (€)</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 xml:space="preserve">Premium </w:t>
            </w:r>
            <w:r>
              <w:rPr>
                <w:rFonts w:ascii="Arial" w:cs="Arial" w:eastAsia="Arial" w:hAnsi="Arial"/>
                <w:sz w:val="14"/>
                <w:szCs w:val="14"/>
                <w:u w:val="single" w:color="auto"/>
                <w:color w:val="auto"/>
                <w:w w:val="98"/>
              </w:rPr>
              <w:t>(€</w:t>
            </w:r>
            <w:r>
              <w:rPr>
                <w:rFonts w:ascii="Arial" w:cs="Arial" w:eastAsia="Arial" w:hAnsi="Arial"/>
                <w:sz w:val="14"/>
                <w:szCs w:val="14"/>
                <w:color w:val="auto"/>
                <w:w w:val="98"/>
              </w:rPr>
              <w: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 xml:space="preserve">value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transaction (€)</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07/01/2020</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BCE-2016-1</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w w:val="89"/>
              </w:rPr>
              <w:t>122,019.59</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9,659</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1,300</w:t>
            </w: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180"/>
              <w:spacing w:after="0" w:line="189" w:lineRule="exact"/>
              <w:rPr>
                <w:sz w:val="20"/>
                <w:szCs w:val="20"/>
                <w:color w:val="auto"/>
              </w:rPr>
            </w:pPr>
            <w:r>
              <w:rPr>
                <w:rFonts w:ascii="Arial" w:cs="Arial" w:eastAsia="Arial" w:hAnsi="Arial"/>
                <w:sz w:val="17"/>
                <w:szCs w:val="17"/>
                <w:color w:val="auto"/>
                <w:w w:val="89"/>
              </w:rPr>
              <w:t>12,203,259</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122,032.59</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11/01/2020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BSA-2014-3</w:t>
            </w: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122,032.59</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16,400</w:t>
            </w: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12,219,659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122,196.59</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16/01/2020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122,196.59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22,290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12,222,659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122,226.59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17/01/2020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122,226.59</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89,50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12,222,669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122,226.69</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22/01/2020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122,226.69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10,402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1,400</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12,224,069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122,240.69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2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Prior Share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5"/>
              </w:rPr>
              <w:t>shares</w:t>
            </w:r>
          </w:p>
        </w:tc>
        <w:tc>
          <w:tcPr>
            <w:tcW w:w="104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shares after</w:t>
            </w: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Nominal</w:t>
            </w:r>
          </w:p>
        </w:tc>
        <w:tc>
          <w:tcPr>
            <w:tcW w:w="10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Capital (€)</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Premium (€)</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 xml:space="preserve">value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11/02/2020</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BCE-2016-1</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6"/>
              </w:rPr>
              <w:t>122,240.69</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11,888</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1,600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9"/>
              </w:rPr>
              <w:t>12,225,669</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122,256.69</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17/03/2020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BSA-2014-7</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122,256.69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12,228,269</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122,282.69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29/07/2020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BSA-2014-7</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122,282.69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12,230,869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122,308.69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30/10/2020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Conversion of convertible bonds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122,308.69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3,995,356.91</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464,309</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12,695,178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126,951.78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02/11/2020</w:t>
            </w:r>
          </w:p>
        </w:tc>
        <w:tc>
          <w:tcPr>
            <w:tcW w:w="3000" w:type="dxa"/>
            <w:vAlign w:val="bottom"/>
            <w:gridSpan w:val="3"/>
            <w:shd w:val="clear" w:color="auto" w:fill="CCEEFF"/>
          </w:tcPr>
          <w:p>
            <w:pPr>
              <w:ind w:left="140"/>
              <w:spacing w:after="0" w:line="185" w:lineRule="exact"/>
              <w:rPr>
                <w:sz w:val="20"/>
                <w:szCs w:val="20"/>
                <w:color w:val="auto"/>
              </w:rPr>
            </w:pPr>
            <w:r>
              <w:rPr>
                <w:rFonts w:ascii="Arial" w:cs="Arial" w:eastAsia="Arial" w:hAnsi="Arial"/>
                <w:sz w:val="17"/>
                <w:szCs w:val="17"/>
                <w:color w:val="auto"/>
              </w:rPr>
              <w:t>Capital increase through issue of new</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126,951.78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27,983,789.90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1,620,370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14,315,548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143,155.48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09/11/2020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143,155.48</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2,386.12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14,315,922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143,159.22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30/11/2020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143,159.22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14,316,672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143,166.72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02/12/2020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143,166.72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12,623.57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1,699</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14,318,371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143,183.71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08/12/2020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143,183.71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14,320,271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143,202.71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04/01/2021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143,202.71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8,950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14,321,271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143,212.71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143,212.71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14,322,071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143,220.71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05/01/2021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143,220.71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17,900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14,324,071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143,240.71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143,240.71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14,325,321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143,253.21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07/01/2021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143,253.21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14,860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14,327,321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143,273.21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08/01/2021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BSA-2018-1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143,273.21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131,856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14,343,721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143,437.21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143,437.21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11,13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14,343,722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143,437.22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143,437.22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14,344,722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143,447.22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22/01/2021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143,447.22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11,145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14,346,222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143,462.22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143,462.22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14,347,222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143,472.22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28/01/2021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143,472.22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523,343.73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47,021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14,394,243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143,942.43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01/02/2021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143,942.43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14,397,243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143,972.43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02/02/2021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143,972.43</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21,960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14,400,243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144,002.43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09/02/2021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144,002.43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14,404,243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144,042.43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2"/>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22/02/2021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144,042.43</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14,640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14,406,243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144,062.43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02/03/2021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144,062.43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17,089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14,408,543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144,085.43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2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Prior Share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5"/>
              </w:rPr>
              <w:t>shares</w:t>
            </w:r>
          </w:p>
        </w:tc>
        <w:tc>
          <w:tcPr>
            <w:tcW w:w="104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shares after</w:t>
            </w: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Nominal</w:t>
            </w:r>
          </w:p>
        </w:tc>
        <w:tc>
          <w:tcPr>
            <w:tcW w:w="10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Capital (€)</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Premium (€)</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 xml:space="preserve">value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02/03/2021</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BCE-2018-3</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6"/>
              </w:rPr>
              <w:t>144,085.43</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20,810.76</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2,843</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w w:val="86"/>
              </w:rPr>
              <w:t>14,411,386</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144,113.86</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7.33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03/03/2021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144,113.86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3,895.5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350</w:t>
            </w:r>
          </w:p>
        </w:tc>
        <w:tc>
          <w:tcPr>
            <w:tcW w:w="1040" w:type="dxa"/>
            <w:vAlign w:val="bottom"/>
            <w:gridSpan w:val="2"/>
          </w:tcPr>
          <w:p>
            <w:pPr>
              <w:ind w:left="120"/>
              <w:spacing w:after="0"/>
              <w:rPr>
                <w:sz w:val="20"/>
                <w:szCs w:val="20"/>
                <w:color w:val="auto"/>
              </w:rPr>
            </w:pPr>
            <w:r>
              <w:rPr>
                <w:rFonts w:ascii="Arial" w:cs="Arial" w:eastAsia="Arial" w:hAnsi="Arial"/>
                <w:sz w:val="17"/>
                <w:szCs w:val="17"/>
                <w:color w:val="auto"/>
              </w:rPr>
              <w:t>14,411,736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144,117.36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25/05/2021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144,117.36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2,998,800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14,531,736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145,317.36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3"/>
        </w:trPr>
        <w:tc>
          <w:tcPr>
            <w:tcW w:w="1060" w:type="dxa"/>
            <w:vAlign w:val="bottom"/>
            <w:gridSpan w:val="2"/>
          </w:tcPr>
          <w:p>
            <w:pPr>
              <w:spacing w:after="0"/>
              <w:rPr>
                <w:sz w:val="20"/>
                <w:szCs w:val="20"/>
                <w:color w:val="auto"/>
              </w:rPr>
            </w:pPr>
            <w:r>
              <w:rPr>
                <w:rFonts w:ascii="Arial" w:cs="Arial" w:eastAsia="Arial" w:hAnsi="Arial"/>
                <w:sz w:val="17"/>
                <w:szCs w:val="17"/>
                <w:color w:val="auto"/>
              </w:rPr>
              <w:t>26/05/2021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145,317.36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1,249,500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14,581,736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145,817.36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31/05/2021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145,817.36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14,601,736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146,017.36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BCE-2017-4</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146,017.36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11,13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14,601,737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146,017.37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03/06/2021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146,017.37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573,980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14,623,737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146,237.37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26.10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15/06/2021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146,237.37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18,575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2,500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14,626,237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146,262.37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24/06/2021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146,262.37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549,800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14,646,237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146,462.37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25/06/2021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146,462.37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146,450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14,651,237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146,512.37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29.30</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29/06/2021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146,512.37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288,100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14,661,237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146,612.37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28.82</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30/06/2021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146,612.37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282,800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14,671,237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146,712.37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28.29</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01/07/2021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BCE-2017-5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146,712.37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14,673,237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146,732.37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02/07/2021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146,732.37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539,800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14,693,237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146,932.37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05/07/2021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146,932.37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944,650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14,728,237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147,282.37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185"/>
        </w:trPr>
        <w:tc>
          <w:tcPr>
            <w:tcW w:w="106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22/07/2021</w:t>
            </w:r>
          </w:p>
        </w:tc>
        <w:tc>
          <w:tcPr>
            <w:tcW w:w="3000" w:type="dxa"/>
            <w:vAlign w:val="bottom"/>
            <w:gridSpan w:val="3"/>
          </w:tcPr>
          <w:p>
            <w:pPr>
              <w:ind w:left="140"/>
              <w:spacing w:after="0" w:line="185" w:lineRule="exact"/>
              <w:rPr>
                <w:sz w:val="20"/>
                <w:szCs w:val="20"/>
                <w:color w:val="auto"/>
              </w:rPr>
            </w:pPr>
            <w:r>
              <w:rPr>
                <w:rFonts w:ascii="Arial" w:cs="Arial" w:eastAsia="Arial" w:hAnsi="Arial"/>
                <w:sz w:val="17"/>
                <w:szCs w:val="17"/>
                <w:color w:val="auto"/>
              </w:rPr>
              <w:t>Capital increase through issuance of</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new shares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147,282.37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59,981,506.74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1,964,031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16.692.268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166,922.68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04"/>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06/09/2021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166,922.68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11,731.02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16,693,322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166,933.22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09/09/2021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166,933.22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22,327.15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3,005</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16,696,327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166,963.27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09/09/2021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166,963.27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16,696,727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166,967.27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10/09/2021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166,967.27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74,292.57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9,999</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16,706,726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167,067.26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20/09/2021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167,067.26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22,282.57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2,999</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16,709,725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167,097.25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18/10/2021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167,097.25</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8,950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16,710,725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167,107.25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20/10/2021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167,107.25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22,245.42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16,713,719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167,137.19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2"/>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20/10/2021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BCE-2018-5</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167,137.19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25,005.12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3,416</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16,717,135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167,171.35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25/10/2021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167,171.35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16,718,135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167,181.35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4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Prior Share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5"/>
              </w:rPr>
              <w:t>shares</w:t>
            </w:r>
          </w:p>
        </w:tc>
        <w:tc>
          <w:tcPr>
            <w:tcW w:w="10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shares after</w:t>
            </w: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Nominal</w:t>
            </w:r>
          </w:p>
        </w:tc>
        <w:tc>
          <w:tcPr>
            <w:tcW w:w="10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Capital (€)</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Premium (€)</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issuance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 xml:space="preserve">value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25/10/2021</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BCE-2017-5</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9"/>
              </w:rPr>
              <w:t>167,181.35</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11,130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w w:val="89"/>
              </w:rPr>
              <w:t>16,719,135</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167,191.35</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11.14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30/11/2021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BCE-2018-2</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167,191.35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187,950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16,740,135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167,401.35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21/12/2021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BCE-2018-2</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167,401.35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214,048.20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23,916</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16,764,051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167,640.51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08/03/2022</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BCE-2018-5</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167,640.51</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2,444.88</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334</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16,764,385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167.643,85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30/05/2022</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BSA-2014-3</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167.643,85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16,783,185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167,831.85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106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07/09/2022</w:t>
            </w:r>
          </w:p>
        </w:tc>
        <w:tc>
          <w:tcPr>
            <w:tcW w:w="3000" w:type="dxa"/>
            <w:vAlign w:val="bottom"/>
            <w:gridSpan w:val="3"/>
          </w:tcPr>
          <w:p>
            <w:pPr>
              <w:ind w:left="140"/>
              <w:spacing w:after="0" w:line="185" w:lineRule="exact"/>
              <w:rPr>
                <w:sz w:val="20"/>
                <w:szCs w:val="20"/>
                <w:color w:val="auto"/>
              </w:rPr>
            </w:pPr>
            <w:r>
              <w:rPr>
                <w:rFonts w:ascii="Arial" w:cs="Arial" w:eastAsia="Arial" w:hAnsi="Arial"/>
                <w:sz w:val="17"/>
                <w:szCs w:val="17"/>
                <w:color w:val="auto"/>
              </w:rPr>
              <w:t>Capital increase through issue of new</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shares</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167,831.85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46,175,500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5,530,000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22,313,185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223,131.85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05"/>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20/01/2023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BCE-2014-4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223,131.85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22,331,585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223,315.85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106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27/02/2023</w:t>
            </w:r>
          </w:p>
        </w:tc>
        <w:tc>
          <w:tcPr>
            <w:tcW w:w="3000" w:type="dxa"/>
            <w:vAlign w:val="bottom"/>
            <w:gridSpan w:val="3"/>
          </w:tcPr>
          <w:p>
            <w:pPr>
              <w:ind w:left="140"/>
              <w:spacing w:after="0" w:line="185" w:lineRule="exact"/>
              <w:rPr>
                <w:sz w:val="20"/>
                <w:szCs w:val="20"/>
                <w:color w:val="auto"/>
              </w:rPr>
            </w:pPr>
            <w:r>
              <w:rPr>
                <w:rFonts w:ascii="Arial" w:cs="Arial" w:eastAsia="Arial" w:hAnsi="Arial"/>
                <w:sz w:val="17"/>
                <w:szCs w:val="17"/>
                <w:color w:val="auto"/>
              </w:rPr>
              <w:t>Capital increase through issue of new</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shares</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223,315.85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129,800,000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20,000,000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42,331,585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423,315.85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5"/>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10/05/2023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BSA-2014-3</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423,315.85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42,347,985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423,479.85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06/06/2023</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BSA-2018-KREOS-A</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423,479.85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488,786.40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67,887</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42,415,872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424,158.72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06/06/2023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BSA-2018-KREOS-b</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424,158.72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338,830.24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31,696</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42,447,568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424,475.68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19/06/2023</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BCE-2014-2</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424,475.68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100,000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42,547,568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425,475.68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12/09/2023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BSA-2014-3</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425,475.68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42,563,968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425,639.68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14/09/2023</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BSA-2014-3</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425,639.68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16,400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42,580,368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425,803.68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Voting Rights (Articles 12, 22, 23, 24, 25 and 26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accordance with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there are three types of shareholders’ meetings: ordinary, extraordinary and special.</w:t>
      </w:r>
    </w:p>
    <w:p>
      <w:pPr>
        <w:spacing w:after="0" w:line="170"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Voting Rights of Warrant Holders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French law, the holders of warrants of the same class (</w:t>
      </w:r>
      <w:r>
        <w:rPr>
          <w:rFonts w:ascii="Arial" w:cs="Arial" w:eastAsia="Arial" w:hAnsi="Arial"/>
          <w:sz w:val="17"/>
          <w:szCs w:val="17"/>
          <w:i w:val="1"/>
          <w:iCs w:val="1"/>
          <w:color w:val="auto"/>
        </w:rPr>
        <w:t>i.e.,</w:t>
      </w:r>
      <w:r>
        <w:rPr>
          <w:rFonts w:ascii="Arial" w:cs="Arial" w:eastAsia="Arial" w:hAnsi="Arial"/>
          <w:sz w:val="17"/>
          <w:szCs w:val="17"/>
          <w:color w:val="auto"/>
        </w:rPr>
        <w:t xml:space="preserve"> warrants that were issued at the same time and with the same rights), including founder’s share warrants (BCEs),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Arial" w:cs="Arial" w:eastAsia="Arial" w:hAnsi="Arial"/>
          <w:sz w:val="18"/>
          <w:szCs w:val="18"/>
          <w:i w:val="1"/>
          <w:iCs w:val="1"/>
          <w:color w:val="auto"/>
        </w:rPr>
        <w:t>Tribunal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w:t>
      </w:r>
      <w:r>
        <w:rPr>
          <w:rFonts w:ascii="Arial" w:cs="Arial" w:eastAsia="Arial" w:hAnsi="Arial"/>
          <w:sz w:val="18"/>
          <w:szCs w:val="18"/>
          <w:color w:val="auto"/>
        </w:rPr>
        <w:t>) at the request of the Board. The Board may also convene an ordinary or extraordinary shareholders’ meeting upon proper notice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w:t>
      </w:r>
    </w:p>
    <w:p>
      <w:pPr>
        <w:spacing w:after="0" w:line="19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of Shareholders’ Meeting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We are subject to French law requirements in relation to notice of shareholders’ meetings and announce shareholders’ meetings at least 35 days in advance by means of a preliminary notice published in the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(BALO), as well as on our website at least 21 days prior to the meeting. At least 15 days prior to the date set for a shareholders’ meeting, or ten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w:t>
      </w:r>
    </w:p>
    <w:p>
      <w:pPr>
        <w:spacing w:after="0" w:line="19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 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Agenda and Conduct of Annual Shareholders’ Meetings.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Attendance and Voting at Shareholders’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Ownership of one share implies, </w:t>
      </w:r>
      <w:r>
        <w:rPr>
          <w:rFonts w:ascii="Arial" w:cs="Arial" w:eastAsia="Arial" w:hAnsi="Arial"/>
          <w:sz w:val="18"/>
          <w:szCs w:val="18"/>
          <w:i w:val="1"/>
          <w:iCs w:val="1"/>
          <w:color w:val="auto"/>
        </w:rPr>
        <w:t>ipso jure</w:t>
      </w:r>
      <w:r>
        <w:rPr>
          <w:rFonts w:ascii="Arial" w:cs="Arial" w:eastAsia="Arial" w:hAnsi="Arial"/>
          <w:sz w:val="18"/>
          <w:szCs w:val="18"/>
          <w:color w:val="auto"/>
        </w:rPr>
        <w:t>, adherence to our by-laws and the decision of the shareholders’ meeting.</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voting rights attached to equity or dividend shares are proportional to the percentage of the share capital they represent. Each share entitles the holder to one vote.</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However, a double voting right compared to that conferred to other shares with regard to the percentage of share capital they represent is allocated to all fully paid-up ordinary shares with proof of being held in registered form by the same owner for at least two (2) years. Under French law, treasury shares or ordinary shares held by entities controlled by us are not entitled to voting rights and do not count for quorum purposes. Purchasers of ADSs or ordinary shares in this global offering, in the open market following the completion of this global offering or in subsequent offerings will be unlikely to meet the requirements to have double voting rights attach to any ordinary shares held by them.</w:t>
      </w:r>
    </w:p>
    <w:p>
      <w:pPr>
        <w:spacing w:after="0" w:line="17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Proxies and Votes by Mail or Videoconference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if provided for by the by-laws, by videoconference or by any means of telecommunications in accordance with applicable regulations, if the Board provides for such possibility when convening the meeting.</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w:t>
      </w:r>
    </w:p>
    <w:p>
      <w:pPr>
        <w:spacing w:after="0" w:line="16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Board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Majority</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Statements and Other Communications with Shareholders</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Preferences and Restrictions Attaching to Ordinary Shares (Articles 7, 11, 30, 31 and 32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Reserve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2022, our legal reserve was €0.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Dividends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w:t>
      </w:r>
    </w:p>
    <w:p>
      <w:pPr>
        <w:spacing w:after="0" w:line="149"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 interim dividends paid in shares, prior authorization by an ordinary shareholders’ meeting is required.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 of Dividends and Timing of Payment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principle, dividends are distributed to shareholders pro rata according to their respective shareholdings.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Timing of Payment</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 absence of such a decision by the shareholders. Shareholders that own shares on the actual payment date are entitled to the dividend.</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Shareholders may be granted an option to receive dividends in cash or in shares, in accordance with legal conditions. The conditions for payment of dividends in cash shall be set at the shareholders’ meeting or, failing this, by the Board.</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Share Capital</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“Description of Share Capital—Shareholders’ Meetings and Voting Rights (Articles 6, 12 and 22 of the By-Laws)” above.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our share capital may be effected by:</w:t>
      </w:r>
    </w:p>
    <w:p>
      <w:pPr>
        <w:spacing w:after="0" w:line="131"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increasing the par value of existing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creating a new class of equity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exercising the rights attached to securities giving access to the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w:t>
      </w:r>
    </w:p>
    <w:p>
      <w:pPr>
        <w:spacing w:after="0" w:line="13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consideration for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consideration for assets contributed in kind;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through an exchange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conversion of previously issued debt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capitalization of profits, reserves or share premium;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certain conditions, by way of offset against debt incurred by us.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Subject to certain conditions, shareholders may delegate the authority (</w:t>
      </w:r>
      <w:r>
        <w:rPr>
          <w:rFonts w:ascii="Arial" w:cs="Arial" w:eastAsia="Arial" w:hAnsi="Arial"/>
          <w:sz w:val="18"/>
          <w:szCs w:val="18"/>
          <w:i w:val="1"/>
          <w:iCs w:val="1"/>
          <w:color w:val="auto"/>
        </w:rPr>
        <w:t>délégation de compétence</w:t>
      </w:r>
      <w:r>
        <w:rPr>
          <w:rFonts w:ascii="Arial" w:cs="Arial" w:eastAsia="Arial" w:hAnsi="Arial"/>
          <w:sz w:val="18"/>
          <w:szCs w:val="18"/>
          <w:color w:val="auto"/>
        </w:rPr>
        <w:t>) or the powers (</w:t>
      </w:r>
      <w:r>
        <w:rPr>
          <w:rFonts w:ascii="Arial" w:cs="Arial" w:eastAsia="Arial" w:hAnsi="Arial"/>
          <w:sz w:val="18"/>
          <w:szCs w:val="18"/>
          <w:i w:val="1"/>
          <w:iCs w:val="1"/>
          <w:color w:val="auto"/>
        </w:rPr>
        <w:t>délégation de pouvoirs</w:t>
      </w:r>
      <w:r>
        <w:rPr>
          <w:rFonts w:ascii="Arial" w:cs="Arial" w:eastAsia="Arial" w:hAnsi="Arial"/>
          <w:sz w:val="18"/>
          <w:szCs w:val="18"/>
          <w:color w:val="auto"/>
        </w:rPr>
        <w:t>) to carry out certain increases in our share capital to the Board following approval at an extraordinary shareholders’ meeting. The Board may further sub-delegate this right to the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Reduction in Share Capital</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w:t>
      </w:r>
    </w:p>
    <w:p>
      <w:pPr>
        <w:spacing w:after="0" w:line="184"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Preferential Subscription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Pursuant to legislation, which entered into force on October 1, 2016,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of a share capital increase without preferential subscription rights to existing shareholders, French law requires that the capital increase be made at a price equal to or exceeding the weighted-average market price of the shares in the three trading days preceding the setting of the price (such weighted-average-market price may be reduced by a maximum discount of 5%). However, within the limit of 10% of the share capital per year, the extraordinary shareholders’ meeting may authorize the Board to set the issuing price in accordance with terms established by the extraordinary shareholders’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Holding and Transfer of Shares (Articles 10 and 11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of Shares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by-laws provide that the shares once fully paid may be held in registered or bearer form at the option of the shareholder, subject to applicable laws. Shares not fully paid must be nominal.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of Shares</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owner of our shares may elect to have its shares held in registered form and registered in its name in an account currently maintained by Uptevia, 12 place des Etats-Unis, CS 40083, 92549 Montrouge 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Our by-laws do not contain any restrictions relating to the transfer of shares. Shares are freely negotiable, subject to applicable legal and regulatory provisions. French and European law provide for standstill obligations and prohibition of insider trading.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w:t>
      </w:r>
    </w:p>
    <w:p>
      <w:pPr>
        <w:spacing w:after="0" w:line="275" w:lineRule="exact"/>
        <w:rPr>
          <w:sz w:val="20"/>
          <w:szCs w:val="20"/>
          <w:color w:val="auto"/>
        </w:rPr>
      </w:pPr>
    </w:p>
    <w:p>
      <w:pPr>
        <w:ind w:left="120" w:right="5180"/>
        <w:spacing w:after="0" w:line="453" w:lineRule="auto"/>
        <w:rPr>
          <w:sz w:val="20"/>
          <w:szCs w:val="20"/>
          <w:color w:val="auto"/>
        </w:rPr>
      </w:pPr>
      <w:r>
        <w:rPr>
          <w:rFonts w:ascii="Arial" w:cs="Arial" w:eastAsia="Arial" w:hAnsi="Arial"/>
          <w:sz w:val="15"/>
          <w:szCs w:val="15"/>
          <w:b w:val="1"/>
          <w:bCs w:val="1"/>
          <w:color w:val="auto"/>
        </w:rPr>
        <w:t xml:space="preserve">Disclosure Requirements for Holdings Exceeding Certain Thresholds </w:t>
      </w:r>
      <w:r>
        <w:rPr>
          <w:rFonts w:ascii="Arial" w:cs="Arial" w:eastAsia="Arial" w:hAnsi="Arial"/>
          <w:sz w:val="15"/>
          <w:szCs w:val="15"/>
          <w:b w:val="1"/>
          <w:bCs w:val="1"/>
          <w:i w:val="1"/>
          <w:iCs w:val="1"/>
          <w:color w:val="auto"/>
        </w:rPr>
        <w:t>Declaration of Crossing of Ownership Thresholds (Article 11.2 of the By-laws)</w:t>
      </w:r>
    </w:p>
    <w:p>
      <w:pPr>
        <w:spacing w:after="0" w:line="1"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 xml:space="preserve">We are subject to certain disclosure requirements under French law. Any individual or entity, acting alone or in concert with others, that acquires, either directly or indirectly, shares representing more than 5%, 10%, 15%, 20%, 25%, 30%, 33 </w:t>
      </w:r>
      <w:r>
        <w:rPr>
          <w:rFonts w:ascii="Arial" w:cs="Arial" w:eastAsia="Arial" w:hAnsi="Arial"/>
          <w:sz w:val="26"/>
          <w:szCs w:val="26"/>
          <w:color w:val="auto"/>
          <w:vertAlign w:val="superscript"/>
        </w:rPr>
        <w:t>1</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xml:space="preserve">%, 50%, 66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90% or 95% of our outstanding share capital or voting rights or that increases or decreases its shareholding or voting rights above or below any of those percentage thresholds, must notify us and the French Market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(“AMF”), within four trading days of the date on which such threshold was crossed. French law and AMF regulations impose additional reporting requirements on persons who acquire more than 10%, 15%, 20% or 25% of the outstanding shares or voting rights of a listed company.</w:t>
      </w:r>
    </w:p>
    <w:p>
      <w:pPr>
        <w:spacing w:after="0" w:line="20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w:t>
      </w:r>
    </w:p>
    <w:p>
      <w:pPr>
        <w:spacing w:after="0" w:line="16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Treasury Shares and Purchases of our Own Shares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not permitted to hold more than 10% of our share capital in treasury shares or to have more than 10% of our share capital to be held for us by our subsidiaries. Treasury shares are not entitled to dividends, voting rights or preferential subscription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Repurchase and Redemption of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French law, we may acquire our own shares. Such acquisition may be challenged on the ground of market abuse regulations. However, EU Market Abuse Regulation 596/2014 of April 16, 2014 (“MAR”) provides for safe harbor exemptions when the acquisition is made for the following purposes only:</w:t>
      </w:r>
    </w:p>
    <w:p>
      <w:pPr>
        <w:spacing w:after="0" w:line="89" w:lineRule="exact"/>
        <w:rPr>
          <w:sz w:val="20"/>
          <w:szCs w:val="20"/>
          <w:color w:val="auto"/>
        </w:rPr>
      </w:pPr>
    </w:p>
    <w:p>
      <w:pPr>
        <w:jc w:val="both"/>
        <w:ind w:left="1080" w:right="100" w:hanging="424"/>
        <w:spacing w:after="0" w:line="263"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51" w:lineRule="exact"/>
        <w:rPr>
          <w:rFonts w:ascii="Arial" w:cs="Arial" w:eastAsia="Arial" w:hAnsi="Arial"/>
          <w:sz w:val="17"/>
          <w:szCs w:val="17"/>
          <w:color w:val="auto"/>
        </w:rPr>
      </w:pPr>
    </w:p>
    <w:p>
      <w:pPr>
        <w:ind w:left="1080" w:right="300" w:hanging="424"/>
        <w:spacing w:after="0" w:line="308"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under a buy-back program to be authorized by the shareholders in accordance with the provisions of Article L. 22-10-62 of the French Commercial Code and in accordance with the general regulations of, and market practices accepted by the AMF.</w:t>
      </w:r>
    </w:p>
    <w:p>
      <w:pPr>
        <w:spacing w:after="0" w:line="146"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14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Under MAR and in accordance with the general regulations (</w:t>
      </w:r>
      <w:r>
        <w:rPr>
          <w:rFonts w:ascii="Arial" w:cs="Arial" w:eastAsia="Arial" w:hAnsi="Arial"/>
          <w:sz w:val="18"/>
          <w:szCs w:val="18"/>
          <w:i w:val="1"/>
          <w:iCs w:val="1"/>
          <w:color w:val="auto"/>
        </w:rPr>
        <w:t>réglement général</w:t>
      </w:r>
      <w:r>
        <w:rPr>
          <w:rFonts w:ascii="Arial" w:cs="Arial" w:eastAsia="Arial" w:hAnsi="Arial"/>
          <w:sz w:val="18"/>
          <w:szCs w:val="18"/>
          <w:color w:val="auto"/>
        </w:rPr>
        <w:t>) of the AMF, or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60"/>
          </w:cols>
          <w:pgMar w:left="320" w:top="459" w:right="51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Ownership of Shares by Non-French Persons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EU and non-EU residents are required to file an administrative notice (</w:t>
      </w:r>
      <w:r>
        <w:rPr>
          <w:rFonts w:ascii="Arial" w:cs="Arial" w:eastAsia="Arial" w:hAnsi="Arial"/>
          <w:sz w:val="18"/>
          <w:szCs w:val="18"/>
          <w:i w:val="1"/>
          <w:iCs w:val="1"/>
          <w:color w:val="auto"/>
        </w:rPr>
        <w:t>déclaration administrative</w:t>
      </w:r>
      <w:r>
        <w:rPr>
          <w:rFonts w:ascii="Arial" w:cs="Arial" w:eastAsia="Arial" w:hAnsi="Arial"/>
          <w:sz w:val="18"/>
          <w:szCs w:val="18"/>
          <w:color w:val="auto"/>
        </w:rPr>
        <w:t>)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w:t>
      </w:r>
    </w:p>
    <w:p>
      <w:pPr>
        <w:spacing w:after="0" w:line="92" w:lineRule="exact"/>
        <w:rPr>
          <w:sz w:val="20"/>
          <w:szCs w:val="20"/>
          <w:color w:val="auto"/>
        </w:rPr>
      </w:pPr>
    </w:p>
    <w:p>
      <w:pPr>
        <w:ind w:left="1080" w:right="12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transaction carried out on our capital by a non-French resident provided that after the transaction the cumulative amount of the capital or the voting rights held by non-French residents exceeds 1/3 of our capital or voting rights;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transaction mentioned above by a corporation incorporated under French law whose capital or voting rights are held for more than 33.33% by non-French residents;</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transaction carried out abroad resulting in a change of the controlling shareholder of a corporation incorporated under a foreign law that holds a shareholding or voting rights in us if our capital or voting rights are held for more than 33.33% by non-French residents;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loans and guarantees granted by the acquirer to us in amounts evidencing control over our financing;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patent licenses granted by an acquirer or management or technical assistance agreements with such acquirer that place us in a dependent position </w:t>
      </w:r>
      <w:r>
        <w:rPr>
          <w:rFonts w:ascii="Arial" w:cs="Arial" w:eastAsia="Arial" w:hAnsi="Arial"/>
          <w:sz w:val="18"/>
          <w:szCs w:val="18"/>
          <w:i w:val="1"/>
          <w:iCs w:val="1"/>
          <w:color w:val="auto"/>
        </w:rPr>
        <w:t>vis-à-vis</w:t>
      </w:r>
      <w:r>
        <w:rPr>
          <w:rFonts w:ascii="Arial" w:cs="Arial" w:eastAsia="Arial" w:hAnsi="Arial"/>
          <w:sz w:val="18"/>
          <w:szCs w:val="18"/>
          <w:color w:val="auto"/>
        </w:rPr>
        <w:t xml:space="preserve"> such party or its group.</w:t>
      </w:r>
    </w:p>
    <w:p>
      <w:pPr>
        <w:spacing w:after="0" w:line="170"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Non-French residents must file a declaration for statistical purposes with the Bank of France (</w:t>
      </w:r>
      <w:r>
        <w:rPr>
          <w:rFonts w:ascii="Arial" w:cs="Arial" w:eastAsia="Arial" w:hAnsi="Arial"/>
          <w:sz w:val="17"/>
          <w:szCs w:val="17"/>
          <w:i w:val="1"/>
          <w:iCs w:val="1"/>
          <w:color w:val="auto"/>
        </w:rPr>
        <w:t>Banque de France</w:t>
      </w:r>
      <w:r>
        <w:rPr>
          <w:rFonts w:ascii="Arial" w:cs="Arial" w:eastAsia="Arial" w:hAnsi="Arial"/>
          <w:sz w:val="17"/>
          <w:szCs w:val="17"/>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w:t>
      </w:r>
    </w:p>
    <w:p>
      <w:pPr>
        <w:spacing w:after="0" w:line="280" w:lineRule="exact"/>
        <w:rPr>
          <w:sz w:val="20"/>
          <w:szCs w:val="20"/>
          <w:color w:val="auto"/>
        </w:rPr>
      </w:pPr>
    </w:p>
    <w:p>
      <w:pPr>
        <w:jc w:val="right"/>
        <w:ind w:left="120" w:right="3700"/>
        <w:spacing w:after="0" w:line="488" w:lineRule="auto"/>
        <w:rPr>
          <w:sz w:val="20"/>
          <w:szCs w:val="20"/>
          <w:color w:val="auto"/>
        </w:rPr>
      </w:pPr>
      <w:r>
        <w:rPr>
          <w:rFonts w:ascii="Arial" w:cs="Arial" w:eastAsia="Arial" w:hAnsi="Arial"/>
          <w:sz w:val="16"/>
          <w:szCs w:val="16"/>
          <w:b w:val="1"/>
          <w:bCs w:val="1"/>
          <w:color w:val="auto"/>
        </w:rPr>
        <w:t xml:space="preserve">Marketable Securities that are Convertible, Exchangeable or Associated with a Share Warrant </w:t>
      </w:r>
      <w:r>
        <w:rPr>
          <w:rFonts w:ascii="Arial" w:cs="Arial" w:eastAsia="Arial" w:hAnsi="Arial"/>
          <w:sz w:val="16"/>
          <w:szCs w:val="16"/>
          <w:color w:val="auto"/>
        </w:rPr>
        <w:t>As of June 30, 2023, we had issued several types of founder’s share warrants (BCE) as follows: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Share Warrants (BCE) Plans: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22"/>
        </w:trPr>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BCE-</w:t>
            </w:r>
          </w:p>
        </w:tc>
        <w:tc>
          <w:tcPr>
            <w:tcW w:w="7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BCE-</w:t>
            </w:r>
          </w:p>
        </w:tc>
        <w:tc>
          <w:tcPr>
            <w:tcW w:w="4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BCE-</w:t>
            </w:r>
          </w:p>
        </w:tc>
        <w:tc>
          <w:tcPr>
            <w:tcW w:w="460" w:type="dxa"/>
            <w:vAlign w:val="bottom"/>
            <w:gridSpan w:val="2"/>
          </w:tcPr>
          <w:p>
            <w:pPr>
              <w:ind w:left="80"/>
              <w:spacing w:after="0"/>
              <w:rPr>
                <w:sz w:val="20"/>
                <w:szCs w:val="20"/>
                <w:color w:val="auto"/>
              </w:rPr>
            </w:pPr>
            <w:r>
              <w:rPr>
                <w:rFonts w:ascii="Arial" w:cs="Arial" w:eastAsia="Arial" w:hAnsi="Arial"/>
                <w:sz w:val="10"/>
                <w:szCs w:val="10"/>
                <w:b w:val="1"/>
                <w:bCs w:val="1"/>
                <w:color w:val="auto"/>
              </w:rPr>
              <w:t>BCE-</w:t>
            </w:r>
          </w:p>
        </w:tc>
        <w:tc>
          <w:tcPr>
            <w:tcW w:w="4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BCE-</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BCE-</w:t>
            </w:r>
          </w:p>
        </w:tc>
        <w:tc>
          <w:tcPr>
            <w:tcW w:w="3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BCE-</w:t>
            </w:r>
          </w:p>
        </w:tc>
        <w:tc>
          <w:tcPr>
            <w:tcW w:w="7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680" w:type="dxa"/>
            <w:vAlign w:val="bottom"/>
            <w:gridSpan w:val="2"/>
          </w:tcPr>
          <w:p>
            <w:pPr>
              <w:ind w:left="180"/>
              <w:spacing w:after="0"/>
              <w:rPr>
                <w:sz w:val="20"/>
                <w:szCs w:val="20"/>
                <w:color w:val="auto"/>
              </w:rPr>
            </w:pPr>
            <w:r>
              <w:rPr>
                <w:rFonts w:ascii="Arial" w:cs="Arial" w:eastAsia="Arial" w:hAnsi="Arial"/>
                <w:sz w:val="10"/>
                <w:szCs w:val="10"/>
                <w:b w:val="1"/>
                <w:bCs w:val="1"/>
                <w:color w:val="auto"/>
              </w:rPr>
              <w:t>BCE-</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8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8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680" w:type="dxa"/>
            <w:vAlign w:val="bottom"/>
            <w:gridSpan w:val="2"/>
          </w:tcPr>
          <w:p>
            <w:pPr>
              <w:ind w:left="200"/>
              <w:spacing w:after="0"/>
              <w:rPr>
                <w:sz w:val="20"/>
                <w:szCs w:val="20"/>
                <w:color w:val="auto"/>
              </w:rPr>
            </w:pPr>
            <w:r>
              <w:rPr>
                <w:rFonts w:ascii="Arial" w:cs="Arial" w:eastAsia="Arial" w:hAnsi="Arial"/>
                <w:sz w:val="10"/>
                <w:szCs w:val="10"/>
                <w:b w:val="1"/>
                <w:bCs w:val="1"/>
                <w:color w:val="auto"/>
              </w:rPr>
              <w:t>BCE-</w:t>
            </w: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BCE-</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BCE-</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4"/>
              </w:rPr>
              <w:t>BCE</w:t>
            </w:r>
          </w:p>
        </w:tc>
        <w:tc>
          <w:tcPr>
            <w:tcW w:w="6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7"/>
              </w:rPr>
              <w:t>BCE-</w:t>
            </w:r>
          </w:p>
        </w:tc>
        <w:tc>
          <w:tcPr>
            <w:tcW w:w="580" w:type="dxa"/>
            <w:vAlign w:val="bottom"/>
          </w:tcPr>
          <w:p>
            <w:pPr>
              <w:jc w:val="right"/>
              <w:ind w:right="127"/>
              <w:spacing w:after="0"/>
              <w:rPr>
                <w:sz w:val="20"/>
                <w:szCs w:val="20"/>
                <w:color w:val="auto"/>
              </w:rPr>
            </w:pPr>
            <w:r>
              <w:rPr>
                <w:rFonts w:ascii="Arial" w:cs="Arial" w:eastAsia="Arial" w:hAnsi="Arial"/>
                <w:sz w:val="10"/>
                <w:szCs w:val="10"/>
                <w:b w:val="1"/>
                <w:bCs w:val="1"/>
                <w:color w:val="auto"/>
              </w:rPr>
              <w:t>BCE-</w:t>
            </w:r>
          </w:p>
        </w:tc>
        <w:tc>
          <w:tcPr>
            <w:tcW w:w="0" w:type="dxa"/>
            <w:vAlign w:val="bottom"/>
          </w:tcPr>
          <w:p>
            <w:pPr>
              <w:spacing w:after="0"/>
              <w:rPr>
                <w:sz w:val="1"/>
                <w:szCs w:val="1"/>
                <w:color w:val="auto"/>
              </w:rPr>
            </w:pPr>
          </w:p>
        </w:tc>
      </w:tr>
      <w:tr>
        <w:trPr>
          <w:trHeight w:val="125"/>
        </w:trPr>
        <w:tc>
          <w:tcPr>
            <w:tcW w:w="1260" w:type="dxa"/>
            <w:vAlign w:val="bottom"/>
            <w:gridSpan w:val="2"/>
          </w:tcPr>
          <w:p>
            <w:pPr>
              <w:spacing w:after="0"/>
              <w:rPr>
                <w:sz w:val="20"/>
                <w:szCs w:val="20"/>
                <w:color w:val="auto"/>
              </w:rPr>
            </w:pPr>
            <w:r>
              <w:rPr>
                <w:rFonts w:ascii="Arial" w:cs="Arial" w:eastAsia="Arial" w:hAnsi="Arial"/>
                <w:sz w:val="10"/>
                <w:szCs w:val="10"/>
                <w:b w:val="1"/>
                <w:bCs w:val="1"/>
                <w:color w:val="auto"/>
              </w:rPr>
              <w:t>Category</w:t>
            </w:r>
          </w:p>
        </w:tc>
        <w:tc>
          <w:tcPr>
            <w:tcW w:w="380" w:type="dxa"/>
            <w:vAlign w:val="bottom"/>
          </w:tcPr>
          <w:p>
            <w:pPr>
              <w:jc w:val="right"/>
              <w:ind w:right="7"/>
              <w:spacing w:after="0"/>
              <w:rPr>
                <w:sz w:val="20"/>
                <w:szCs w:val="20"/>
                <w:color w:val="auto"/>
              </w:rPr>
            </w:pPr>
            <w:r>
              <w:rPr>
                <w:rFonts w:ascii="Arial" w:cs="Arial" w:eastAsia="Arial" w:hAnsi="Arial"/>
                <w:sz w:val="10"/>
                <w:szCs w:val="10"/>
                <w:b w:val="1"/>
                <w:bCs w:val="1"/>
                <w:color w:val="auto"/>
                <w:w w:val="96"/>
              </w:rPr>
              <w:t>2014-1</w:t>
            </w:r>
          </w:p>
        </w:tc>
        <w:tc>
          <w:tcPr>
            <w:tcW w:w="8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2014-2   2014-3</w:t>
            </w:r>
          </w:p>
        </w:tc>
        <w:tc>
          <w:tcPr>
            <w:tcW w:w="10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2014-4</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w w:val="89"/>
              </w:rPr>
              <w:t>2014-5</w:t>
            </w:r>
          </w:p>
        </w:tc>
        <w:tc>
          <w:tcPr>
            <w:tcW w:w="6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2014-6</w:t>
            </w:r>
          </w:p>
        </w:tc>
        <w:tc>
          <w:tcPr>
            <w:tcW w:w="80" w:type="dxa"/>
            <w:vAlign w:val="bottom"/>
          </w:tcPr>
          <w:p>
            <w:pPr>
              <w:spacing w:after="0"/>
              <w:rPr>
                <w:sz w:val="10"/>
                <w:szCs w:val="10"/>
                <w:color w:val="auto"/>
              </w:rPr>
            </w:pPr>
          </w:p>
        </w:tc>
        <w:tc>
          <w:tcPr>
            <w:tcW w:w="620" w:type="dxa"/>
            <w:vAlign w:val="bottom"/>
          </w:tcPr>
          <w:p>
            <w:pPr>
              <w:jc w:val="right"/>
              <w:ind w:right="127"/>
              <w:spacing w:after="0"/>
              <w:rPr>
                <w:sz w:val="20"/>
                <w:szCs w:val="20"/>
                <w:color w:val="auto"/>
              </w:rPr>
            </w:pPr>
            <w:r>
              <w:rPr>
                <w:rFonts w:ascii="Arial" w:cs="Arial" w:eastAsia="Arial" w:hAnsi="Arial"/>
                <w:sz w:val="10"/>
                <w:szCs w:val="10"/>
                <w:b w:val="1"/>
                <w:bCs w:val="1"/>
                <w:color w:val="auto"/>
              </w:rPr>
              <w:t>2014-7</w:t>
            </w:r>
          </w:p>
        </w:tc>
        <w:tc>
          <w:tcPr>
            <w:tcW w:w="60" w:type="dxa"/>
            <w:vAlign w:val="bottom"/>
          </w:tcPr>
          <w:p>
            <w:pPr>
              <w:spacing w:after="0"/>
              <w:rPr>
                <w:sz w:val="10"/>
                <w:szCs w:val="1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(G)</w:t>
            </w:r>
          </w:p>
        </w:tc>
        <w:tc>
          <w:tcPr>
            <w:tcW w:w="7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(S)</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(D)</w:t>
            </w:r>
          </w:p>
        </w:tc>
        <w:tc>
          <w:tcPr>
            <w:tcW w:w="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(C)</w:t>
            </w:r>
          </w:p>
        </w:tc>
        <w:tc>
          <w:tcPr>
            <w:tcW w:w="620" w:type="dxa"/>
            <w:vAlign w:val="bottom"/>
          </w:tcPr>
          <w:p>
            <w:pPr>
              <w:jc w:val="right"/>
              <w:ind w:right="127"/>
              <w:spacing w:after="0"/>
              <w:rPr>
                <w:sz w:val="20"/>
                <w:szCs w:val="20"/>
                <w:color w:val="auto"/>
              </w:rPr>
            </w:pPr>
            <w:r>
              <w:rPr>
                <w:rFonts w:ascii="Arial" w:cs="Arial" w:eastAsia="Arial" w:hAnsi="Arial"/>
                <w:sz w:val="10"/>
                <w:szCs w:val="10"/>
                <w:b w:val="1"/>
                <w:bCs w:val="1"/>
                <w:color w:val="auto"/>
              </w:rPr>
              <w:t>2016-1</w:t>
            </w:r>
          </w:p>
        </w:tc>
        <w:tc>
          <w:tcPr>
            <w:tcW w:w="6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2017-1</w:t>
            </w:r>
          </w:p>
        </w:tc>
        <w:tc>
          <w:tcPr>
            <w:tcW w:w="60" w:type="dxa"/>
            <w:vAlign w:val="bottom"/>
          </w:tcPr>
          <w:p>
            <w:pPr>
              <w:spacing w:after="0"/>
              <w:rPr>
                <w:sz w:val="10"/>
                <w:szCs w:val="10"/>
                <w:color w:val="auto"/>
              </w:rPr>
            </w:pPr>
          </w:p>
        </w:tc>
        <w:tc>
          <w:tcPr>
            <w:tcW w:w="580" w:type="dxa"/>
            <w:vAlign w:val="bottom"/>
          </w:tcPr>
          <w:p>
            <w:pPr>
              <w:jc w:val="right"/>
              <w:ind w:right="87"/>
              <w:spacing w:after="0"/>
              <w:rPr>
                <w:sz w:val="20"/>
                <w:szCs w:val="20"/>
                <w:color w:val="auto"/>
              </w:rPr>
            </w:pPr>
            <w:r>
              <w:rPr>
                <w:rFonts w:ascii="Arial" w:cs="Arial" w:eastAsia="Arial" w:hAnsi="Arial"/>
                <w:sz w:val="10"/>
                <w:szCs w:val="10"/>
                <w:b w:val="1"/>
                <w:bCs w:val="1"/>
                <w:color w:val="auto"/>
              </w:rPr>
              <w:t>2017-2</w:t>
            </w:r>
          </w:p>
        </w:tc>
        <w:tc>
          <w:tcPr>
            <w:tcW w:w="4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2017-3</w:t>
            </w:r>
          </w:p>
        </w:tc>
        <w:tc>
          <w:tcPr>
            <w:tcW w:w="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2017-4</w:t>
            </w:r>
          </w:p>
        </w:tc>
        <w:tc>
          <w:tcPr>
            <w:tcW w:w="40" w:type="dxa"/>
            <w:vAlign w:val="bottom"/>
          </w:tcPr>
          <w:p>
            <w:pPr>
              <w:spacing w:after="0"/>
              <w:rPr>
                <w:sz w:val="10"/>
                <w:szCs w:val="10"/>
                <w:color w:val="auto"/>
              </w:rPr>
            </w:pPr>
          </w:p>
        </w:tc>
        <w:tc>
          <w:tcPr>
            <w:tcW w:w="580" w:type="dxa"/>
            <w:vAlign w:val="bottom"/>
          </w:tcPr>
          <w:p>
            <w:pPr>
              <w:jc w:val="right"/>
              <w:ind w:right="107"/>
              <w:spacing w:after="0"/>
              <w:rPr>
                <w:sz w:val="20"/>
                <w:szCs w:val="20"/>
                <w:color w:val="auto"/>
              </w:rPr>
            </w:pPr>
            <w:r>
              <w:rPr>
                <w:rFonts w:ascii="Arial" w:cs="Arial" w:eastAsia="Arial" w:hAnsi="Arial"/>
                <w:sz w:val="10"/>
                <w:szCs w:val="10"/>
                <w:b w:val="1"/>
                <w:bCs w:val="1"/>
                <w:color w:val="auto"/>
              </w:rPr>
              <w:t>2017-5</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Expiration date</w:t>
            </w:r>
          </w:p>
        </w:tc>
        <w:tc>
          <w:tcPr>
            <w:tcW w:w="46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11/03/</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11/03/</w:t>
            </w:r>
          </w:p>
        </w:tc>
        <w:tc>
          <w:tcPr>
            <w:tcW w:w="4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1"/>
                <w:szCs w:val="11"/>
                <w:color w:val="auto"/>
                <w:w w:val="97"/>
              </w:rPr>
              <w:t>11/03/</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7"/>
              </w:rPr>
              <w:t>11/03/</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9"/>
              </w:rPr>
              <w:t>Null and</w:t>
            </w: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w w:val="94"/>
              </w:rPr>
              <w:t>Null and</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4"/>
              </w:rPr>
              <w:t>Null and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2024</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11/03/ 2024</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11/03/2024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Null and void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void</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Null and void</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void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void</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7/11/2026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23/01/2027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20/11/2027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20/11/2027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20/11/2027</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20/11/2027</w:t>
            </w: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93"/>
              </w:rPr>
              <w:t>Subscription or purchase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price (€)</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Exercise price</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per share (€)</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0.01</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0.01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0.01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17.79</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7.44</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11.14</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0" w:type="dxa"/>
            <w:vAlign w:val="bottom"/>
          </w:tcPr>
          <w:p>
            <w:pPr>
              <w:spacing w:after="0"/>
              <w:rPr>
                <w:sz w:val="1"/>
                <w:szCs w:val="1"/>
                <w:color w:val="auto"/>
              </w:rPr>
            </w:pPr>
          </w:p>
        </w:tc>
      </w:tr>
      <w:tr>
        <w:trPr>
          <w:trHeight w:val="112"/>
        </w:trPr>
        <w:tc>
          <w:tcPr>
            <w:tcW w:w="1260" w:type="dxa"/>
            <w:vAlign w:val="bottom"/>
            <w:gridSpan w:val="2"/>
          </w:tcPr>
          <w:p>
            <w:pPr>
              <w:spacing w:after="0" w:line="112" w:lineRule="exact"/>
              <w:rPr>
                <w:sz w:val="20"/>
                <w:szCs w:val="20"/>
                <w:color w:val="auto"/>
              </w:rPr>
            </w:pPr>
            <w:r>
              <w:rPr>
                <w:rFonts w:ascii="Arial" w:cs="Arial" w:eastAsia="Arial" w:hAnsi="Arial"/>
                <w:sz w:val="11"/>
                <w:szCs w:val="11"/>
                <w:b w:val="1"/>
                <w:bCs w:val="1"/>
                <w:color w:val="auto"/>
              </w:rPr>
              <w:t>Exercise conditions</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w w:val="94"/>
              </w:rPr>
              <w:t>Achievement</w:t>
            </w: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2420" w:type="dxa"/>
            <w:vAlign w:val="bottom"/>
            <w:gridSpan w:val="7"/>
          </w:tcPr>
          <w:p>
            <w:pPr>
              <w:jc w:val="right"/>
              <w:spacing w:after="0" w:line="112" w:lineRule="exact"/>
              <w:rPr>
                <w:sz w:val="20"/>
                <w:szCs w:val="20"/>
                <w:color w:val="auto"/>
              </w:rPr>
            </w:pPr>
            <w:r>
              <w:rPr>
                <w:rFonts w:ascii="Arial" w:cs="Arial" w:eastAsia="Arial" w:hAnsi="Arial"/>
                <w:sz w:val="11"/>
                <w:szCs w:val="11"/>
                <w:color w:val="auto"/>
                <w:w w:val="91"/>
              </w:rPr>
              <w:t>Achievement Achievement Achievement Achievement</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8"/>
              </w:rPr>
              <w:t>of objectives</w:t>
            </w: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6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1"/>
              </w:rPr>
              <w:t>of objectives</w:t>
            </w:r>
          </w:p>
        </w:tc>
        <w:tc>
          <w:tcPr>
            <w:tcW w:w="6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1"/>
              </w:rPr>
              <w:t>of objectives</w:t>
            </w:r>
          </w:p>
        </w:tc>
        <w:tc>
          <w:tcPr>
            <w:tcW w:w="620" w:type="dxa"/>
            <w:vAlign w:val="bottom"/>
            <w:gridSpan w:val="2"/>
          </w:tcPr>
          <w:p>
            <w:pPr>
              <w:jc w:val="center"/>
              <w:ind w:right="20"/>
              <w:spacing w:after="0" w:line="122" w:lineRule="exact"/>
              <w:rPr>
                <w:sz w:val="20"/>
                <w:szCs w:val="20"/>
                <w:color w:val="auto"/>
              </w:rPr>
            </w:pPr>
            <w:r>
              <w:rPr>
                <w:rFonts w:ascii="Arial" w:cs="Arial" w:eastAsia="Arial" w:hAnsi="Arial"/>
                <w:sz w:val="11"/>
                <w:szCs w:val="11"/>
                <w:color w:val="auto"/>
                <w:w w:val="91"/>
              </w:rPr>
              <w:t>of objectives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w w:val="91"/>
              </w:rPr>
              <w:t>of objectives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Note (1)</w:t>
            </w:r>
          </w:p>
        </w:tc>
        <w:tc>
          <w:tcPr>
            <w:tcW w:w="460" w:type="dxa"/>
            <w:vAlign w:val="bottom"/>
            <w:gridSpan w:val="2"/>
          </w:tcPr>
          <w:p>
            <w:pPr>
              <w:ind w:left="40"/>
              <w:spacing w:after="0"/>
              <w:rPr>
                <w:sz w:val="20"/>
                <w:szCs w:val="20"/>
                <w:color w:val="auto"/>
              </w:rPr>
            </w:pPr>
            <w:r>
              <w:rPr>
                <w:rFonts w:ascii="Arial" w:cs="Arial" w:eastAsia="Arial" w:hAnsi="Arial"/>
                <w:sz w:val="11"/>
                <w:szCs w:val="11"/>
                <w:color w:val="auto"/>
              </w:rPr>
              <w:t>Note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Note (4)</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Note (6)</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Note (8)</w:t>
            </w:r>
          </w:p>
        </w:tc>
        <w:tc>
          <w:tcPr>
            <w:tcW w:w="600" w:type="dxa"/>
            <w:vAlign w:val="bottom"/>
            <w:gridSpan w:val="2"/>
          </w:tcPr>
          <w:p>
            <w:pPr>
              <w:ind w:left="220"/>
              <w:spacing w:after="0"/>
              <w:rPr>
                <w:sz w:val="20"/>
                <w:szCs w:val="20"/>
                <w:color w:val="auto"/>
              </w:rPr>
            </w:pPr>
            <w:r>
              <w:rPr>
                <w:rFonts w:ascii="Arial" w:cs="Arial" w:eastAsia="Arial" w:hAnsi="Arial"/>
                <w:sz w:val="11"/>
                <w:szCs w:val="11"/>
                <w:color w:val="auto"/>
                <w:w w:val="90"/>
              </w:rPr>
              <w:t>Note (9)</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Note (10)</w:t>
            </w:r>
          </w:p>
        </w:tc>
        <w:tc>
          <w:tcPr>
            <w:tcW w:w="580" w:type="dxa"/>
            <w:vAlign w:val="bottom"/>
          </w:tcPr>
          <w:p>
            <w:pPr>
              <w:jc w:val="right"/>
              <w:spacing w:after="0"/>
              <w:rPr>
                <w:sz w:val="20"/>
                <w:szCs w:val="20"/>
                <w:color w:val="auto"/>
              </w:rPr>
            </w:pPr>
            <w:r>
              <w:rPr>
                <w:rFonts w:ascii="Arial" w:cs="Arial" w:eastAsia="Arial" w:hAnsi="Arial"/>
                <w:sz w:val="11"/>
                <w:szCs w:val="11"/>
                <w:color w:val="auto"/>
              </w:rPr>
              <w:t>Note (11)</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Number of shares</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subscribed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0"/>
              </w:rPr>
              <w:t>275,000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275,000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76,300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98,400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19,700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40,006</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48,426</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22"/>
        </w:trPr>
        <w:tc>
          <w:tcPr>
            <w:tcW w:w="3280" w:type="dxa"/>
            <w:vAlign w:val="bottom"/>
            <w:gridSpan w:val="10"/>
          </w:tcPr>
          <w:p>
            <w:pPr>
              <w:spacing w:after="0" w:line="122" w:lineRule="exact"/>
              <w:rPr>
                <w:sz w:val="20"/>
                <w:szCs w:val="20"/>
                <w:color w:val="auto"/>
              </w:rPr>
            </w:pPr>
            <w:r>
              <w:rPr>
                <w:rFonts w:ascii="Arial" w:cs="Arial" w:eastAsia="Arial" w:hAnsi="Arial"/>
                <w:sz w:val="11"/>
                <w:szCs w:val="11"/>
                <w:b w:val="1"/>
                <w:bCs w:val="1"/>
                <w:color w:val="auto"/>
                <w:w w:val="98"/>
              </w:rPr>
              <w:t xml:space="preserve">Beneficiaries </w:t>
            </w:r>
            <w:r>
              <w:rPr>
                <w:rFonts w:ascii="Arial" w:cs="Arial" w:eastAsia="Arial" w:hAnsi="Arial"/>
                <w:sz w:val="11"/>
                <w:szCs w:val="11"/>
                <w:color w:val="auto"/>
                <w:w w:val="98"/>
              </w:rPr>
              <w:t>(remaining number of shares that can be subscribed)</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Marc de Garidel</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Other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tcPr>
          <w:p>
            <w:pPr>
              <w:jc w:val="right"/>
              <w:spacing w:after="0"/>
              <w:rPr>
                <w:sz w:val="20"/>
                <w:szCs w:val="20"/>
                <w:color w:val="auto"/>
              </w:rPr>
            </w:pPr>
            <w:r>
              <w:rPr>
                <w:rFonts w:ascii="Arial" w:cs="Arial" w:eastAsia="Arial" w:hAnsi="Arial"/>
                <w:sz w:val="11"/>
                <w:szCs w:val="11"/>
                <w:color w:val="auto"/>
              </w:rPr>
              <w:t>67,000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67,373</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64,374</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Cumulative number of</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b w:val="1"/>
                <w:bCs w:val="1"/>
                <w:color w:val="auto"/>
              </w:rPr>
              <w:t>cancelled or lapsed</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BCEs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626</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328</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33,687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67,374</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33,687</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67,374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21,499</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37,500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52,635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99"/>
              </w:rPr>
              <w:t>BCEs outstanding as of</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112,500</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ind w:left="100"/>
              <w:spacing w:after="0"/>
              <w:rPr>
                <w:sz w:val="20"/>
                <w:szCs w:val="20"/>
                <w:color w:val="auto"/>
              </w:rPr>
            </w:pPr>
            <w:r>
              <w:rPr>
                <w:rFonts w:ascii="Arial" w:cs="Arial" w:eastAsia="Arial" w:hAnsi="Arial"/>
                <w:sz w:val="11"/>
                <w:szCs w:val="11"/>
                <w:b w:val="1"/>
                <w:bCs w:val="1"/>
                <w:color w:val="auto"/>
              </w:rPr>
              <w:t>30/06/2023</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tcPr>
          <w:p>
            <w:pPr>
              <w:jc w:val="right"/>
              <w:spacing w:after="0"/>
              <w:rPr>
                <w:sz w:val="20"/>
                <w:szCs w:val="20"/>
                <w:color w:val="auto"/>
              </w:rPr>
            </w:pPr>
            <w:r>
              <w:rPr>
                <w:rFonts w:ascii="Arial" w:cs="Arial" w:eastAsia="Arial" w:hAnsi="Arial"/>
                <w:sz w:val="11"/>
                <w:szCs w:val="11"/>
                <w:color w:val="auto"/>
              </w:rPr>
              <w:t>67,000</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67,373</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64,374</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BCEs exercisable at</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112,500</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30/06/2023*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67,000</w:t>
            </w:r>
          </w:p>
        </w:tc>
        <w:tc>
          <w:tcPr>
            <w:tcW w:w="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67,373</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64,374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44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BCE-2018-1</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BCE-2018-2</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BCE 2018-3</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BCE-2018-4</w:t>
            </w:r>
          </w:p>
        </w:tc>
        <w:tc>
          <w:tcPr>
            <w:tcW w:w="1000" w:type="dxa"/>
            <w:vAlign w:val="bottom"/>
          </w:tcPr>
          <w:p>
            <w:pPr>
              <w:jc w:val="right"/>
              <w:ind w:right="40"/>
              <w:spacing w:after="0"/>
              <w:rPr>
                <w:sz w:val="20"/>
                <w:szCs w:val="20"/>
                <w:color w:val="auto"/>
              </w:rPr>
            </w:pPr>
            <w:r>
              <w:rPr>
                <w:rFonts w:ascii="Arial" w:cs="Arial" w:eastAsia="Arial" w:hAnsi="Arial"/>
                <w:sz w:val="14"/>
                <w:szCs w:val="14"/>
                <w:b w:val="1"/>
                <w:bCs w:val="1"/>
                <w:color w:val="auto"/>
              </w:rPr>
              <w:t>BCE-2018-5</w:t>
            </w:r>
          </w:p>
        </w:tc>
      </w:tr>
      <w:tr>
        <w:trPr>
          <w:trHeight w:val="189"/>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Expiration date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15/03/2028</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21/05/2028</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20/11/2028</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14/05/2028</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14/05/2028</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Subscription or purchase price (€)</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Exercise price per share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19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Terms of exercise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Achievement of</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Achievement of</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Achievement of</w:t>
            </w:r>
          </w:p>
        </w:tc>
        <w:tc>
          <w:tcPr>
            <w:tcW w:w="100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objectives Note</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objectives</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objectives</w:t>
            </w:r>
          </w:p>
        </w:tc>
        <w:tc>
          <w:tcPr>
            <w:tcW w:w="1000" w:type="dxa"/>
            <w:vAlign w:val="bottom"/>
          </w:tcPr>
          <w:p>
            <w:pPr>
              <w:spacing w:after="0"/>
              <w:rPr>
                <w:sz w:val="17"/>
                <w:szCs w:val="17"/>
                <w:color w:val="auto"/>
              </w:rPr>
            </w:pPr>
          </w:p>
        </w:tc>
      </w:tr>
      <w:tr>
        <w:trPr>
          <w:trHeight w:val="220"/>
        </w:trPr>
        <w:tc>
          <w:tcPr>
            <w:tcW w:w="5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Note (12)</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Note (14)</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Note (15)</w:t>
            </w:r>
          </w:p>
        </w:tc>
        <w:tc>
          <w:tcPr>
            <w:tcW w:w="1000" w:type="dxa"/>
            <w:vAlign w:val="bottom"/>
          </w:tcPr>
          <w:p>
            <w:pPr>
              <w:jc w:val="right"/>
              <w:spacing w:after="0"/>
              <w:rPr>
                <w:sz w:val="20"/>
                <w:szCs w:val="20"/>
                <w:color w:val="auto"/>
              </w:rPr>
            </w:pPr>
            <w:r>
              <w:rPr>
                <w:rFonts w:ascii="Arial" w:cs="Arial" w:eastAsia="Arial" w:hAnsi="Arial"/>
                <w:sz w:val="16"/>
                <w:szCs w:val="16"/>
                <w:color w:val="auto"/>
              </w:rPr>
              <w:t>Note (16)</w:t>
            </w:r>
          </w:p>
        </w:tc>
      </w:tr>
      <w:tr>
        <w:trPr>
          <w:trHeight w:val="208"/>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Number of shares subscribed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Beneficiaries </w:t>
            </w:r>
            <w:r>
              <w:rPr>
                <w:rFonts w:ascii="Arial" w:cs="Arial" w:eastAsia="Arial" w:hAnsi="Arial"/>
                <w:sz w:val="16"/>
                <w:szCs w:val="16"/>
                <w:color w:val="auto"/>
              </w:rPr>
              <w:t>(number of shares that can be subscribed)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Marc de Garidel</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Others</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Cumulative number of cancelled or lapsed BCEs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22,458</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BCEs outstanding at June 30, 2023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BCEs exercisable at June 30, 2023*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bl>
    <w:p>
      <w:pPr>
        <w:spacing w:after="0" w:line="229" w:lineRule="exact"/>
        <w:rPr>
          <w:sz w:val="20"/>
          <w:szCs w:val="20"/>
          <w:color w:val="auto"/>
        </w:rPr>
      </w:pPr>
    </w:p>
    <w:p>
      <w:pPr>
        <w:ind w:left="540" w:right="240" w:hanging="424"/>
        <w:spacing w:after="0" w:line="286" w:lineRule="auto"/>
        <w:tabs>
          <w:tab w:leader="none" w:pos="540" w:val="left"/>
        </w:tabs>
        <w:numPr>
          <w:ilvl w:val="0"/>
          <w:numId w:val="149"/>
        </w:numPr>
        <w:rPr>
          <w:rFonts w:ascii="Arial" w:cs="Arial" w:eastAsia="Arial" w:hAnsi="Arial"/>
          <w:sz w:val="17"/>
          <w:szCs w:val="17"/>
          <w:i w:val="1"/>
          <w:iCs w:val="1"/>
          <w:color w:val="auto"/>
        </w:rPr>
      </w:pPr>
      <w:r>
        <w:rPr>
          <w:rFonts w:ascii="Arial" w:cs="Arial" w:eastAsia="Arial" w:hAnsi="Arial"/>
          <w:sz w:val="17"/>
          <w:szCs w:val="17"/>
          <w:i w:val="1"/>
          <w:iCs w:val="1"/>
          <w:color w:val="auto"/>
        </w:rPr>
        <w:t>The number of shares to which the exercise of the BSAs and BCEs entitles the holder has been multiplied by 100 for all BSAs and BCEs issued prior to the division by 100 of the nominal value of the shares, decided by our general meeting on February 20, 2015. According to the exercise conditions provided in the notes below and assuming that performance objectives have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ind w:left="5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 BCE 2014-2 has a warrant to share ratio of 1:100.</w:t>
      </w:r>
    </w:p>
    <w:p>
      <w:pPr>
        <w:ind w:left="540" w:right="380" w:hanging="424"/>
        <w:spacing w:after="0" w:line="238" w:lineRule="auto"/>
        <w:tabs>
          <w:tab w:leader="none" w:pos="54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BCE 2014-4 has a warrant to share ratio of 1:100. 246 BCE-2014-4 are exercisable subject to a service condition, which is fully fulfilled on the date hereof. 369 BCE-2014-4 are exercisable exclusively in the event of the achievement of qualitative and/or quantitative objectives (non-market conditions), as set by the Board on September 8, 2014.</w:t>
      </w:r>
    </w:p>
    <w:p>
      <w:pPr>
        <w:ind w:left="540" w:right="8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197 BCE-2014-6 are exercisable subject to a service condition, which is fully fulfilled on the date hereof. 328 BCE-2014-6 are exercisable exclusively in the event of the achievement of qualitative and/or quantitative objectives (non-market conditions), as set by the Board on September 8, 2014 and revised on November 20, 2017.</w:t>
      </w:r>
    </w:p>
    <w:p>
      <w:pPr>
        <w:ind w:left="540" w:right="8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50% of the BCE-2014-7 granted to each beneficiary are exercisable subject to a presence condition, which is fully fulfilled on the date hereof. 50% of the BCE-2014-7 are exercisable exclusively in the event of the achievement of qualitative and/or quantitative objectives (non-market conditions), as set by the Board on September 8, 2014.</w:t>
      </w:r>
    </w:p>
    <w:p>
      <w:pPr>
        <w:ind w:left="5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ind w:left="540" w:right="6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33,687 BCE-2017-1 are exercisable subject to a service condition, which is fully fulfilled on the date hereof, 16,844 BCE-2017-1 are exercisable exclusively in the event of achievement of the qualitative objectives (non-market conditions) set by the Board, and 16,843 BCE-2017-1 are exercisable exclusively in the event of achievement of the quantitative targets (market conditions) set by the Board.</w:t>
      </w:r>
    </w:p>
    <w:p>
      <w:pPr>
        <w:ind w:left="540" w:right="2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75,000 BCE-2017-2 are exercisable subject to a service condition, which is fully fulfilled on the date hereof: and 75,000 BCE-2017-2 are exercisable exclusively in the event of the achievement of qualitative objectives (non-market conditions) set by the Board.</w:t>
      </w:r>
    </w:p>
    <w:p>
      <w:pPr>
        <w:ind w:left="540" w:right="2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50,531 BCE-2017-3 are exercisable subject to a service condition, which is fully fulfilled on the date hereof, and 50,530 BCE-2017-3 are exercisable exclusively in the event of the achievement of qualitative objectives (non-market conditions) set by the Board.</w:t>
      </w:r>
    </w:p>
    <w:p>
      <w:pPr>
        <w:ind w:left="540" w:right="2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33,687 BCE-2017-4 are exercisable subject to a service condition, which is fully fulfilled on the date hereof, and 33,687 BCE-2017-4 are exercisable exclusively in the event of the achievement of qualitative objectives (non-market conditions) set by the Board.</w:t>
      </w:r>
    </w:p>
    <w:p>
      <w:pPr>
        <w:ind w:left="540" w:right="2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16,843 BCE-2017-5 are exercisable subject to a service condition, which is fully fulfilled on the date hereof, and 16,844 BCE-2017-5 are exercisable exclusively in the event of the achievement of qualitative objectives (non-market conditions) set by the Board.</w:t>
      </w:r>
    </w:p>
    <w:p>
      <w:pPr>
        <w:ind w:left="5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ind w:left="540" w:right="72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33,686 BCE-2018-2 are exercisable subject to a service condition, which is fully fulfilled on the date hereof, and 33,686 BCE-2018-2 are exercisable exclusively in case of achievement of qualitative objectives (non-market conditions) set by the Board.</w:t>
      </w:r>
    </w:p>
    <w:p>
      <w:pPr>
        <w:ind w:left="540" w:right="24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16,843 BCE-2018-3 are exercisable subject to a service condition, which is fully fulfilled on the date hereof, and 16,844 BCE-2018-3 are exercisable exclusively in the event of the achievement of qualitative objectives (non-market conditions) set by the Board.</w:t>
      </w:r>
    </w:p>
    <w:p>
      <w:pPr>
        <w:ind w:left="540" w:right="380" w:hanging="424"/>
        <w:spacing w:after="0" w:line="221"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8,422 BCE-2018-4 are exercisable subject to a service condition, which is fully fulfilled on the date hereof, and 8,421 BCE-2018-4 are exercisable exclusively in the event of the achievement of qualitative objectives (non-market conditions) set by the Board.</w:t>
      </w:r>
    </w:p>
    <w:p>
      <w:pPr>
        <w:ind w:left="540" w:hanging="424"/>
        <w:spacing w:after="0"/>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spacing w:after="0" w:line="19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u w:val="single" w:color="auto"/>
          <w:color w:val="auto"/>
        </w:rPr>
        <w:t>General note</w:t>
      </w:r>
      <w:r>
        <w:rPr>
          <w:rFonts w:ascii="Arial" w:cs="Arial" w:eastAsia="Arial" w:hAnsi="Arial"/>
          <w:sz w:val="18"/>
          <w:szCs w:val="18"/>
          <w:color w:val="auto"/>
        </w:rPr>
        <w:t>: all of our BCE plans provide for specific cases of acceleration resulting in the exercise of said BCEs in the event of the occurrence of specific events and in particular in the event of a change of control of 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2023, we had issued several types of share warrants (BSA)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Warrants (BSA) Plans: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BSA-2015</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- 11- Santé</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Category</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Holdings</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BSA-2014- 1</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BSA-2014- 2</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BSA-2014- 3</w:t>
            </w: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BSA-2014 -4</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BSA-2014- 5</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BSA-2014- 6</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BSA-2014- 7</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BSA-2015- 9</w:t>
            </w: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SRL</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88"/>
              </w:rPr>
              <w:t>BSA-2015- 12</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BSA-2017- 1</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BSA-2018- 1</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6"/>
              </w:rPr>
              <w:t>BSA-2018- 2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60" w:type="dxa"/>
            <w:vAlign w:val="bottom"/>
            <w:gridSpan w:val="2"/>
            <w:shd w:val="clear" w:color="auto" w:fill="CCEEFF"/>
          </w:tcPr>
          <w:p>
            <w:pPr>
              <w:spacing w:after="0" w:line="91" w:lineRule="exact"/>
              <w:rPr>
                <w:sz w:val="20"/>
                <w:szCs w:val="20"/>
                <w:color w:val="auto"/>
              </w:rPr>
            </w:pPr>
            <w:r>
              <w:rPr>
                <w:rFonts w:ascii="Arial" w:cs="Arial" w:eastAsia="Arial" w:hAnsi="Arial"/>
                <w:sz w:val="10"/>
                <w:szCs w:val="10"/>
                <w:b w:val="1"/>
                <w:bCs w:val="1"/>
                <w:color w:val="auto"/>
              </w:rPr>
              <w:t>Date of general</w:t>
            </w: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meeting</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20/02/2015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20/02/2015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20/02/2015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23/06/2017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23/06/2017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23/06/2017</w:t>
            </w:r>
          </w:p>
        </w:tc>
        <w:tc>
          <w:tcPr>
            <w:tcW w:w="0" w:type="dxa"/>
            <w:vAlign w:val="bottom"/>
          </w:tcPr>
          <w:p>
            <w:pPr>
              <w:spacing w:after="0"/>
              <w:rPr>
                <w:sz w:val="1"/>
                <w:szCs w:val="1"/>
                <w:color w:val="auto"/>
              </w:rPr>
            </w:pPr>
          </w:p>
        </w:tc>
      </w:tr>
      <w:tr>
        <w:trPr>
          <w:trHeight w:val="117"/>
        </w:trPr>
        <w:tc>
          <w:tcPr>
            <w:tcW w:w="126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Date of Board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meeting</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14/09/2015</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04/12/2015</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04/12/2015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18/09/2017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22/01/2018</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14/05/2018</w:t>
            </w:r>
          </w:p>
        </w:tc>
        <w:tc>
          <w:tcPr>
            <w:tcW w:w="0" w:type="dxa"/>
            <w:vAlign w:val="bottom"/>
          </w:tcPr>
          <w:p>
            <w:pPr>
              <w:spacing w:after="0"/>
              <w:rPr>
                <w:sz w:val="1"/>
                <w:szCs w:val="1"/>
                <w:color w:val="auto"/>
              </w:rPr>
            </w:pPr>
          </w:p>
        </w:tc>
      </w:tr>
      <w:tr>
        <w:trPr>
          <w:trHeight w:val="117"/>
        </w:trPr>
        <w:tc>
          <w:tcPr>
            <w:tcW w:w="12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Date of decision of</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w w:val="93"/>
              </w:rPr>
              <w:t>the Chief Executive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Officer</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gridSpan w:val="8"/>
          </w:tcPr>
          <w:p>
            <w:pPr>
              <w:spacing w:after="0" w:line="135" w:lineRule="exact"/>
              <w:rPr>
                <w:sz w:val="20"/>
                <w:szCs w:val="20"/>
                <w:color w:val="auto"/>
              </w:rPr>
            </w:pPr>
            <w:r>
              <w:rPr>
                <w:rFonts w:ascii="Arial" w:cs="Arial" w:eastAsia="Arial" w:hAnsi="Arial"/>
                <w:sz w:val="11"/>
                <w:szCs w:val="11"/>
                <w:color w:val="auto"/>
              </w:rPr>
              <w:t>Total number of shares that may be subscribed or purchased (</w:t>
            </w:r>
            <w:r>
              <w:rPr>
                <w:rFonts w:ascii="Arial" w:cs="Arial" w:eastAsia="Arial" w:hAnsi="Arial"/>
                <w:sz w:val="15"/>
                <w:szCs w:val="15"/>
                <w:color w:val="auto"/>
                <w:vertAlign w:val="superscript"/>
              </w:rPr>
              <w:t>*</w:t>
            </w:r>
            <w:r>
              <w:rPr>
                <w:rFonts w:ascii="Arial" w:cs="Arial" w:eastAsia="Arial" w:hAnsi="Arial"/>
                <w:sz w:val="11"/>
                <w:szCs w:val="11"/>
                <w:color w:val="auto"/>
              </w:rPr>
              <w:t>) :</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Santé Holding SRL</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96,924</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6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6"/>
              </w:rPr>
              <w:t>Corinna zur Bonsen-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Thomas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16,400</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Carol L. Brosgart</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16,400</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Others</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84,160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45,900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16,400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40" w:right="280" w:hanging="324"/>
        <w:spacing w:after="0" w:line="290" w:lineRule="auto"/>
        <w:tabs>
          <w:tab w:leader="none" w:pos="44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number of shares to which the exercise of the BSAs and BCEs entitles the holder has been multiplied by 100 for all BSAs and BCEs issued prior to the division by 100 of the nominal value of the shares, decided by our general meeting on February 20, 2015. Consequently, BSA 2014-3, BSA 2014-4 and BSA 2014-5 have a warrant to share ratio of 1:100.</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BSA-</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2015-11-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79"/>
              </w:rPr>
              <w:t>Santé</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BSA-2014-</w:t>
            </w: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BSA-2014-</w:t>
            </w: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BSA-2014-</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BSA-</w:t>
            </w: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BSA-</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BSA-</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Holding</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BSA-</w:t>
            </w:r>
          </w:p>
        </w:tc>
        <w:tc>
          <w:tcPr>
            <w:tcW w:w="7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BSA-</w:t>
            </w:r>
          </w:p>
        </w:tc>
        <w:tc>
          <w:tcPr>
            <w:tcW w:w="62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BSA-</w:t>
            </w:r>
          </w:p>
        </w:tc>
        <w:tc>
          <w:tcPr>
            <w:tcW w:w="58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BSA-</w:t>
            </w:r>
          </w:p>
        </w:tc>
      </w:tr>
      <w:tr>
        <w:trPr>
          <w:trHeight w:val="135"/>
        </w:trPr>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Category</w:t>
            </w:r>
          </w:p>
        </w:tc>
        <w:tc>
          <w:tcPr>
            <w:tcW w:w="740" w:type="dxa"/>
            <w:vAlign w:val="bottom"/>
          </w:tcPr>
          <w:p>
            <w:pPr>
              <w:jc w:val="right"/>
              <w:ind w:right="279"/>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720" w:type="dxa"/>
            <w:vAlign w:val="bottom"/>
          </w:tcPr>
          <w:p>
            <w:pPr>
              <w:jc w:val="right"/>
              <w:ind w:right="279"/>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1"/>
                <w:szCs w:val="11"/>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BSA-2014-4</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9"/>
              </w:rPr>
              <w:t>BSA- 2014-5</w:t>
            </w:r>
          </w:p>
        </w:tc>
        <w:tc>
          <w:tcPr>
            <w:tcW w:w="640" w:type="dxa"/>
            <w:vAlign w:val="bottom"/>
          </w:tcPr>
          <w:p>
            <w:pPr>
              <w:jc w:val="right"/>
              <w:ind w:right="119"/>
              <w:spacing w:after="0"/>
              <w:rPr>
                <w:sz w:val="20"/>
                <w:szCs w:val="20"/>
                <w:color w:val="auto"/>
              </w:rPr>
            </w:pPr>
            <w:r>
              <w:rPr>
                <w:rFonts w:ascii="Arial" w:cs="Arial" w:eastAsia="Arial" w:hAnsi="Arial"/>
                <w:sz w:val="11"/>
                <w:szCs w:val="11"/>
                <w:b w:val="1"/>
                <w:bCs w:val="1"/>
                <w:color w:val="auto"/>
              </w:rPr>
              <w:t>2014-6</w:t>
            </w:r>
          </w:p>
        </w:tc>
        <w:tc>
          <w:tcPr>
            <w:tcW w:w="80" w:type="dxa"/>
            <w:vAlign w:val="bottom"/>
          </w:tcPr>
          <w:p>
            <w:pPr>
              <w:spacing w:after="0"/>
              <w:rPr>
                <w:sz w:val="11"/>
                <w:szCs w:val="11"/>
                <w:color w:val="auto"/>
              </w:rPr>
            </w:pPr>
          </w:p>
        </w:tc>
        <w:tc>
          <w:tcPr>
            <w:tcW w:w="640" w:type="dxa"/>
            <w:vAlign w:val="bottom"/>
          </w:tcPr>
          <w:p>
            <w:pPr>
              <w:jc w:val="right"/>
              <w:ind w:right="99"/>
              <w:spacing w:after="0"/>
              <w:rPr>
                <w:sz w:val="20"/>
                <w:szCs w:val="20"/>
                <w:color w:val="auto"/>
              </w:rPr>
            </w:pPr>
            <w:r>
              <w:rPr>
                <w:rFonts w:ascii="Arial" w:cs="Arial" w:eastAsia="Arial" w:hAnsi="Arial"/>
                <w:sz w:val="11"/>
                <w:szCs w:val="11"/>
                <w:b w:val="1"/>
                <w:bCs w:val="1"/>
                <w:color w:val="auto"/>
              </w:rPr>
              <w:t>2014-7</w:t>
            </w:r>
          </w:p>
        </w:tc>
        <w:tc>
          <w:tcPr>
            <w:tcW w:w="100" w:type="dxa"/>
            <w:vAlign w:val="bottom"/>
          </w:tcPr>
          <w:p>
            <w:pPr>
              <w:spacing w:after="0"/>
              <w:rPr>
                <w:sz w:val="11"/>
                <w:szCs w:val="11"/>
                <w:color w:val="auto"/>
              </w:rPr>
            </w:pPr>
          </w:p>
        </w:tc>
        <w:tc>
          <w:tcPr>
            <w:tcW w:w="620" w:type="dxa"/>
            <w:vAlign w:val="bottom"/>
          </w:tcPr>
          <w:p>
            <w:pPr>
              <w:jc w:val="right"/>
              <w:ind w:right="99"/>
              <w:spacing w:after="0"/>
              <w:rPr>
                <w:sz w:val="20"/>
                <w:szCs w:val="20"/>
                <w:color w:val="auto"/>
              </w:rPr>
            </w:pPr>
            <w:r>
              <w:rPr>
                <w:rFonts w:ascii="Arial" w:cs="Arial" w:eastAsia="Arial" w:hAnsi="Arial"/>
                <w:sz w:val="11"/>
                <w:szCs w:val="11"/>
                <w:b w:val="1"/>
                <w:bCs w:val="1"/>
                <w:color w:val="auto"/>
              </w:rPr>
              <w:t>2015-9</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SRL</w:t>
            </w:r>
          </w:p>
        </w:tc>
        <w:tc>
          <w:tcPr>
            <w:tcW w:w="620" w:type="dxa"/>
            <w:vAlign w:val="bottom"/>
          </w:tcPr>
          <w:p>
            <w:pPr>
              <w:jc w:val="right"/>
              <w:ind w:right="79"/>
              <w:spacing w:after="0"/>
              <w:rPr>
                <w:sz w:val="20"/>
                <w:szCs w:val="20"/>
                <w:color w:val="auto"/>
              </w:rPr>
            </w:pPr>
            <w:r>
              <w:rPr>
                <w:rFonts w:ascii="Arial" w:cs="Arial" w:eastAsia="Arial" w:hAnsi="Arial"/>
                <w:sz w:val="11"/>
                <w:szCs w:val="11"/>
                <w:b w:val="1"/>
                <w:bCs w:val="1"/>
                <w:color w:val="auto"/>
              </w:rPr>
              <w:t>2015-12</w:t>
            </w:r>
          </w:p>
        </w:tc>
        <w:tc>
          <w:tcPr>
            <w:tcW w:w="100" w:type="dxa"/>
            <w:vAlign w:val="bottom"/>
          </w:tcPr>
          <w:p>
            <w:pPr>
              <w:spacing w:after="0"/>
              <w:rPr>
                <w:sz w:val="11"/>
                <w:szCs w:val="11"/>
                <w:color w:val="auto"/>
              </w:rPr>
            </w:pPr>
          </w:p>
        </w:tc>
        <w:tc>
          <w:tcPr>
            <w:tcW w:w="640" w:type="dxa"/>
            <w:vAlign w:val="bottom"/>
          </w:tcPr>
          <w:p>
            <w:pPr>
              <w:jc w:val="right"/>
              <w:ind w:right="99"/>
              <w:spacing w:after="0"/>
              <w:rPr>
                <w:sz w:val="20"/>
                <w:szCs w:val="20"/>
                <w:color w:val="auto"/>
              </w:rPr>
            </w:pPr>
            <w:r>
              <w:rPr>
                <w:rFonts w:ascii="Arial" w:cs="Arial" w:eastAsia="Arial" w:hAnsi="Arial"/>
                <w:sz w:val="11"/>
                <w:szCs w:val="11"/>
                <w:b w:val="1"/>
                <w:bCs w:val="1"/>
                <w:color w:val="auto"/>
              </w:rPr>
              <w:t>2017-1</w:t>
            </w:r>
          </w:p>
        </w:tc>
        <w:tc>
          <w:tcPr>
            <w:tcW w:w="100" w:type="dxa"/>
            <w:vAlign w:val="bottom"/>
          </w:tcPr>
          <w:p>
            <w:pPr>
              <w:spacing w:after="0"/>
              <w:rPr>
                <w:sz w:val="11"/>
                <w:szCs w:val="11"/>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2018-1</w:t>
            </w:r>
          </w:p>
        </w:tc>
        <w:tc>
          <w:tcPr>
            <w:tcW w:w="40" w:type="dxa"/>
            <w:vAlign w:val="bottom"/>
          </w:tcPr>
          <w:p>
            <w:pPr>
              <w:spacing w:after="0"/>
              <w:rPr>
                <w:sz w:val="11"/>
                <w:szCs w:val="11"/>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2018-2</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5"/>
        </w:trPr>
        <w:tc>
          <w:tcPr>
            <w:tcW w:w="1300" w:type="dxa"/>
            <w:vAlign w:val="bottom"/>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Starting date for</w:t>
            </w: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 to</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ind w:left="60"/>
              <w:spacing w:after="0" w:line="95" w:lineRule="exact"/>
              <w:rPr>
                <w:sz w:val="20"/>
                <w:szCs w:val="20"/>
                <w:color w:val="auto"/>
              </w:rPr>
            </w:pPr>
            <w:r>
              <w:rPr>
                <w:rFonts w:ascii="Arial" w:cs="Arial" w:eastAsia="Arial" w:hAnsi="Arial"/>
                <w:sz w:val="10"/>
                <w:szCs w:val="10"/>
                <w:color w:val="auto"/>
              </w:rPr>
              <w:t>According to</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48"/>
        </w:trPr>
        <w:tc>
          <w:tcPr>
            <w:tcW w:w="13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b w:val="1"/>
                <w:bCs w:val="1"/>
                <w:color w:val="auto"/>
              </w:rPr>
              <w:t>exercising options</w:t>
            </w:r>
          </w:p>
        </w:tc>
        <w:tc>
          <w:tcPr>
            <w:tcW w:w="8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to the</w:t>
            </w: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the</w:t>
            </w:r>
          </w:p>
        </w:tc>
        <w:tc>
          <w:tcPr>
            <w:tcW w:w="7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the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to the</w:t>
            </w: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to the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7"/>
              </w:rPr>
              <w:t>achievement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4"/>
              </w:rPr>
              <w:t>achievement</w:t>
            </w: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4"/>
              </w:rPr>
              <w:t>achievement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achievement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achievement</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7"/>
              </w:rPr>
              <w:t>of criteria (see</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4"/>
              </w:rPr>
              <w:t>of criteria (see</w:t>
            </w: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4"/>
              </w:rPr>
              <w:t>of criteria (see</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7"/>
              </w:rPr>
              <w:t>of criteria (see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7"/>
              </w:rPr>
              <w:t>of criteria (see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Terms of</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Terms of</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9"/>
        </w:trPr>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exercise)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exercise)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11/03/2014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11/03/2014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14/09/2015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10/12/2015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04/12/2016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18/09/2017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22/01/2018 14/05/2018</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Expiry date</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3"/>
                <w:szCs w:val="13"/>
                <w:color w:val="auto"/>
              </w:rPr>
              <w:t>11/03/2024</w:t>
            </w:r>
          </w:p>
        </w:tc>
        <w:tc>
          <w:tcPr>
            <w:tcW w:w="8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740" w:type="dxa"/>
            <w:vAlign w:val="bottom"/>
            <w:gridSpan w:val="2"/>
          </w:tcPr>
          <w:p>
            <w:pPr>
              <w:jc w:val="right"/>
              <w:ind w:right="20"/>
              <w:spacing w:after="0" w:line="117" w:lineRule="exact"/>
              <w:rPr>
                <w:sz w:val="20"/>
                <w:szCs w:val="20"/>
                <w:color w:val="auto"/>
              </w:rPr>
            </w:pPr>
            <w:r>
              <w:rPr>
                <w:rFonts w:ascii="Arial" w:cs="Arial" w:eastAsia="Arial" w:hAnsi="Arial"/>
                <w:sz w:val="13"/>
                <w:szCs w:val="13"/>
                <w:color w:val="auto"/>
              </w:rPr>
              <w:t>11/03/2024</w:t>
            </w:r>
          </w:p>
        </w:tc>
        <w:tc>
          <w:tcPr>
            <w:tcW w:w="920" w:type="dxa"/>
            <w:vAlign w:val="bottom"/>
            <w:gridSpan w:val="3"/>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8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720" w:type="dxa"/>
            <w:vAlign w:val="bottom"/>
            <w:gridSpan w:val="2"/>
          </w:tcPr>
          <w:p>
            <w:pPr>
              <w:jc w:val="right"/>
              <w:ind w:right="80"/>
              <w:spacing w:after="0" w:line="117" w:lineRule="exact"/>
              <w:rPr>
                <w:sz w:val="20"/>
                <w:szCs w:val="20"/>
                <w:color w:val="auto"/>
              </w:rPr>
            </w:pPr>
            <w:r>
              <w:rPr>
                <w:rFonts w:ascii="Arial" w:cs="Arial" w:eastAsia="Arial" w:hAnsi="Arial"/>
                <w:sz w:val="13"/>
                <w:szCs w:val="13"/>
                <w:color w:val="auto"/>
                <w:w w:val="95"/>
              </w:rPr>
              <w:t>11/03/2024</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11/03/2024</w:t>
            </w:r>
          </w:p>
        </w:tc>
        <w:tc>
          <w:tcPr>
            <w:tcW w:w="7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2"/>
              </w:rPr>
              <w:t>14/09/2025</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04/12/2025</w:t>
            </w:r>
          </w:p>
        </w:tc>
        <w:tc>
          <w:tcPr>
            <w:tcW w:w="7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2"/>
              </w:rPr>
              <w:t>04/12/2025</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18/09/2027</w:t>
            </w:r>
          </w:p>
        </w:tc>
        <w:tc>
          <w:tcPr>
            <w:tcW w:w="1200" w:type="dxa"/>
            <w:vAlign w:val="bottom"/>
            <w:gridSpan w:val="3"/>
          </w:tcPr>
          <w:p>
            <w:pPr>
              <w:jc w:val="right"/>
              <w:spacing w:after="0" w:line="117" w:lineRule="exact"/>
              <w:rPr>
                <w:sz w:val="20"/>
                <w:szCs w:val="20"/>
                <w:color w:val="auto"/>
              </w:rPr>
            </w:pPr>
            <w:r>
              <w:rPr>
                <w:rFonts w:ascii="Arial" w:cs="Arial" w:eastAsia="Arial" w:hAnsi="Arial"/>
                <w:sz w:val="13"/>
                <w:szCs w:val="13"/>
                <w:color w:val="auto"/>
                <w:w w:val="88"/>
              </w:rPr>
              <w:t>22/01/2028 14/05/2028</w:t>
            </w:r>
          </w:p>
        </w:tc>
      </w:tr>
      <w:tr>
        <w:trPr>
          <w:trHeight w:val="135"/>
        </w:trPr>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0" w:type="dxa"/>
            <w:vAlign w:val="bottom"/>
            <w:gridSpan w:val="15"/>
          </w:tcPr>
          <w:p>
            <w:pPr>
              <w:jc w:val="right"/>
              <w:ind w:right="560"/>
              <w:spacing w:after="0" w:line="135" w:lineRule="exact"/>
              <w:rPr>
                <w:sz w:val="20"/>
                <w:szCs w:val="20"/>
                <w:color w:val="auto"/>
              </w:rPr>
            </w:pPr>
            <w:r>
              <w:rPr>
                <w:rFonts w:ascii="Arial" w:cs="Arial" w:eastAsia="Arial" w:hAnsi="Arial"/>
                <w:sz w:val="13"/>
                <w:szCs w:val="13"/>
                <w:b w:val="1"/>
                <w:bCs w:val="1"/>
                <w:color w:val="auto"/>
                <w:w w:val="94"/>
              </w:rPr>
              <w:t>or at the end of a period of 90 days following the date on which the beneficiary ceases</w:t>
            </w:r>
          </w:p>
        </w:tc>
        <w:tc>
          <w:tcPr>
            <w:tcW w:w="3540" w:type="dxa"/>
            <w:vAlign w:val="bottom"/>
            <w:gridSpan w:val="10"/>
          </w:tcPr>
          <w:p>
            <w:pPr>
              <w:ind w:left="600"/>
              <w:spacing w:after="0" w:line="135" w:lineRule="exact"/>
              <w:rPr>
                <w:sz w:val="20"/>
                <w:szCs w:val="20"/>
                <w:color w:val="auto"/>
              </w:rPr>
            </w:pPr>
            <w:r>
              <w:rPr>
                <w:rFonts w:ascii="Arial" w:cs="Arial" w:eastAsia="Arial" w:hAnsi="Arial"/>
                <w:sz w:val="13"/>
                <w:szCs w:val="13"/>
                <w:b w:val="1"/>
                <w:bCs w:val="1"/>
                <w:color w:val="auto"/>
                <w:w w:val="87"/>
              </w:rPr>
              <w:t>or at the end of 90 days following the expiration of the</w:t>
            </w:r>
          </w:p>
        </w:tc>
        <w:tc>
          <w:tcPr>
            <w:tcW w:w="58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6"/>
              </w:rPr>
              <w:t>to work for us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84"/>
              </w:rPr>
              <w:t>beneficiary’s mandate</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Subscription or</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purchase price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0.73</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Exercise price per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 (€)</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0.01</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0.01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20.73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17.79</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17.79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11.57</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8.05</w:t>
            </w:r>
          </w:p>
        </w:tc>
        <w:tc>
          <w:tcPr>
            <w:tcW w:w="580" w:type="dxa"/>
            <w:vAlign w:val="bottom"/>
          </w:tcPr>
          <w:p>
            <w:pPr>
              <w:jc w:val="right"/>
              <w:spacing w:after="0"/>
              <w:rPr>
                <w:sz w:val="20"/>
                <w:szCs w:val="20"/>
                <w:color w:val="auto"/>
              </w:rPr>
            </w:pPr>
            <w:r>
              <w:rPr>
                <w:rFonts w:ascii="Arial" w:cs="Arial" w:eastAsia="Arial" w:hAnsi="Arial"/>
                <w:sz w:val="13"/>
                <w:szCs w:val="13"/>
                <w:color w:val="auto"/>
              </w:rPr>
              <w:t>6.60</w:t>
            </w: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Terms of exercise</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Achievement</w:t>
            </w: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Achievement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9"/>
              </w:rPr>
              <w:t>of objectives</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9"/>
              </w:rPr>
              <w:t>of objectives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3"/>
        </w:trPr>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Note (1)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(3)</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Note (4)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(5)</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Note (6)</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7"/>
              </w:rPr>
              <w:t>Note (7)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Note (8)</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Number of shares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subscribed</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39,400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44,800</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58,000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47,340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5,200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3"/>
              </w:rPr>
              <w:t>Cumulative number of</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1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BSA or BCE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6"/>
              </w:rPr>
              <w:t>cancelled or lapsed</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122,274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32,800</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BSAs as of June 30,</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420" w:type="dxa"/>
            <w:vAlign w:val="bottom"/>
          </w:tcPr>
          <w:p>
            <w:pPr>
              <w:ind w:left="120"/>
              <w:spacing w:after="0"/>
              <w:rPr>
                <w:sz w:val="20"/>
                <w:szCs w:val="20"/>
                <w:color w:val="auto"/>
              </w:rPr>
            </w:pPr>
            <w:r>
              <w:rPr>
                <w:rFonts w:ascii="Arial" w:cs="Arial" w:eastAsia="Arial" w:hAnsi="Arial"/>
                <w:sz w:val="13"/>
                <w:szCs w:val="13"/>
                <w:b w:val="1"/>
                <w:bCs w:val="1"/>
                <w:color w:val="auto"/>
                <w:w w:val="96"/>
              </w:rPr>
              <w:t>2023</w:t>
            </w:r>
          </w:p>
        </w:tc>
        <w:tc>
          <w:tcPr>
            <w:tcW w:w="8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328</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842</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96,924</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16,400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16,400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BSA potentially</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1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exercisable as of</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June 30 2023,*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96,924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440" w:hanging="324"/>
        <w:spacing w:after="0"/>
        <w:tabs>
          <w:tab w:leader="none" w:pos="4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number of shares to which the exercise of the BSAs and BCEs entitles the holder has been multiplied by 100 for all BSAs and BCEs issued prior to the division by 100 of the</w:t>
      </w:r>
    </w:p>
    <w:p>
      <w:pPr>
        <w:spacing w:after="0" w:line="11" w:lineRule="exact"/>
        <w:rPr>
          <w:sz w:val="20"/>
          <w:szCs w:val="20"/>
          <w:color w:val="auto"/>
        </w:rPr>
      </w:pPr>
    </w:p>
    <w:p>
      <w:pPr>
        <w:ind w:left="440" w:right="240"/>
        <w:spacing w:after="0" w:line="221" w:lineRule="auto"/>
        <w:rPr>
          <w:sz w:val="20"/>
          <w:szCs w:val="20"/>
          <w:color w:val="auto"/>
        </w:rPr>
      </w:pPr>
      <w:r>
        <w:rPr>
          <w:rFonts w:ascii="Arial" w:cs="Arial" w:eastAsia="Arial" w:hAnsi="Arial"/>
          <w:sz w:val="14"/>
          <w:szCs w:val="14"/>
          <w:color w:val="auto"/>
        </w:rPr>
        <w:t>nominal value of the shares, decided by our general meeting on February 20, 2015. According to the exercise conditions provided in the notes below and assuming that the objectives have been achieved.</w:t>
      </w:r>
    </w:p>
    <w:p>
      <w:pPr>
        <w:ind w:left="440" w:hanging="324"/>
        <w:spacing w:after="0" w:line="222"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right="220" w:hanging="324"/>
        <w:spacing w:after="0" w:line="221"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263 BSA-2014-4 are exercisable at any time as from March 11, 2014. 1,052 BSA-2014-4 are exercisable exclusively in the event of the achievement of qualitative and/or quantitative objectives (non-market conditions), as set by the Board on September 8, 2014.</w:t>
      </w:r>
    </w:p>
    <w:p>
      <w:pPr>
        <w:ind w:left="440" w:hanging="324"/>
        <w:spacing w:after="0" w:line="221"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Exercisable by their beneficiary according to the exercise conditions set by the Board on September 8, 2014.</w:t>
      </w:r>
    </w:p>
    <w:p>
      <w:pPr>
        <w:ind w:left="440" w:hanging="324"/>
        <w:spacing w:after="0" w:line="221"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line="221"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line="221"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line="221" w:lineRule="auto"/>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tabs>
          <w:tab w:leader="none" w:pos="4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 xml:space="preserve">The laws applicable to French </w:t>
      </w:r>
      <w:r>
        <w:rPr>
          <w:rFonts w:ascii="Arial" w:cs="Arial" w:eastAsia="Arial" w:hAnsi="Arial"/>
          <w:sz w:val="17"/>
          <w:szCs w:val="17"/>
          <w:i w:val="1"/>
          <w:iCs w:val="1"/>
          <w:color w:val="auto"/>
        </w:rPr>
        <w:t>sociétés anonymes</w:t>
      </w:r>
      <w:r>
        <w:rPr>
          <w:rFonts w:ascii="Arial" w:cs="Arial" w:eastAsia="Arial" w:hAnsi="Arial"/>
          <w:sz w:val="17"/>
          <w:szCs w:val="17"/>
          <w:color w:val="auto"/>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11120"/>
          </w:cols>
          <w:pgMar w:left="320" w:top="459" w:right="459" w:bottom="1440" w:gutter="0" w:footer="0" w:header="0"/>
        </w:sectPr>
      </w:pP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4740" w:type="dxa"/>
            <w:vAlign w:val="bottom"/>
          </w:tcPr>
          <w:p>
            <w:pPr>
              <w:ind w:left="20"/>
              <w:spacing w:after="0" w:line="182" w:lineRule="exact"/>
              <w:rPr>
                <w:sz w:val="20"/>
                <w:szCs w:val="20"/>
                <w:color w:val="auto"/>
              </w:rPr>
            </w:pPr>
            <w:r>
              <w:rPr>
                <w:rFonts w:ascii="Arial" w:cs="Arial" w:eastAsia="Arial" w:hAnsi="Arial"/>
                <w:sz w:val="18"/>
                <w:szCs w:val="18"/>
                <w:color w:val="auto"/>
                <w:w w:val="93"/>
              </w:rPr>
              <w:t xml:space="preserve">Under French law, a </w:t>
            </w:r>
            <w:r>
              <w:rPr>
                <w:rFonts w:ascii="Arial" w:cs="Arial" w:eastAsia="Arial" w:hAnsi="Arial"/>
                <w:sz w:val="18"/>
                <w:szCs w:val="18"/>
                <w:i w:val="1"/>
                <w:iCs w:val="1"/>
                <w:color w:val="auto"/>
                <w:w w:val="93"/>
              </w:rPr>
              <w:t>société anonyme</w:t>
            </w:r>
            <w:r>
              <w:rPr>
                <w:rFonts w:ascii="Arial" w:cs="Arial" w:eastAsia="Arial" w:hAnsi="Arial"/>
                <w:sz w:val="18"/>
                <w:szCs w:val="18"/>
                <w:color w:val="auto"/>
                <w:w w:val="93"/>
              </w:rPr>
              <w:t xml:space="preserve"> must have at least three</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0"/>
              </w:rPr>
              <w:t>and may have up to 18 directors. The number of directors is fixed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by or in the manner provided in the by-laws. The number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directors of each gender may not be less than 40%. In case a</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board of directors comprises up to eight members, the difference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between the number of directors of each gender may not exceed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two. Any appointment made in violation of this limit that is not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remedied within six months of this appointment will be null and</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void and payment of directors’ compensation will be suspended.</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Director</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Under French law, a corporation may prescribe qualifications for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Qualifications</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directors under its by-laws. In addition, under French law,</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members of a board of directors may be legal entities, and such</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legal entities must designate an individual to represent them and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 act on their behalf at meetings of the board of directors.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Removal of</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French law, directors may be removed from office, with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without cause, at any shareholders’ meeting without notice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justification, by a simple majority vote of the shareholders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present and voting at the meeting in person or by proxy.</w:t>
            </w:r>
          </w:p>
        </w:tc>
        <w:tc>
          <w:tcPr>
            <w:tcW w:w="0" w:type="dxa"/>
            <w:vAlign w:val="bottom"/>
          </w:tcPr>
          <w:p>
            <w:pPr>
              <w:spacing w:after="0"/>
              <w:rPr>
                <w:sz w:val="1"/>
                <w:szCs w:val="1"/>
                <w:color w:val="auto"/>
              </w:rPr>
            </w:pPr>
          </w:p>
        </w:tc>
      </w:tr>
      <w:tr>
        <w:trPr>
          <w:trHeight w:val="526"/>
        </w:trPr>
        <w:tc>
          <w:tcPr>
            <w:tcW w:w="1660" w:type="dxa"/>
            <w:vAlign w:val="bottom"/>
          </w:tcPr>
          <w:p>
            <w:pPr>
              <w:spacing w:after="0"/>
              <w:rPr>
                <w:sz w:val="20"/>
                <w:szCs w:val="20"/>
                <w:color w:val="auto"/>
              </w:rPr>
            </w:pPr>
            <w:r>
              <w:rPr>
                <w:rFonts w:ascii="Arial" w:cs="Arial" w:eastAsia="Arial" w:hAnsi="Arial"/>
                <w:sz w:val="18"/>
                <w:szCs w:val="18"/>
                <w:color w:val="auto"/>
              </w:rPr>
              <w:t>Vacancies on the</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Under French law, vacancies on the board of directors resulting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board of 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from death or a resignation, provided that at least three directors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remain in office, may be filled by a majority of the remaining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directors pending ratification by the shareholders by the next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shareholders’ meeting.</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 (unless specified in the certificate of incorporation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Under Delaware law, a corporation may prescribe qualifications for directors under its certificate of incorporation or by-laws.</w:t>
      </w:r>
    </w:p>
    <w:p>
      <w:pPr>
        <w:spacing w:after="0" w:line="40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 whose board is classified, shareholders may effect such removal only for cause.</w:t>
      </w:r>
    </w:p>
    <w:p>
      <w:pPr>
        <w:spacing w:after="0" w:line="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Under Delaware law, vacancies on a corporation’s board of directors, including those caused by an increase in the number of directors, unless otherwise provided in the certificate of incorporation, may be filled by the board of directors or other governing body.</w:t>
      </w:r>
    </w:p>
    <w:p>
      <w:pPr>
        <w:sectPr>
          <w:pgSz w:w="11900" w:h="16838" w:orient="portrait"/>
          <w:cols w:equalWidth="0" w:num="2">
            <w:col w:w="6520" w:space="220"/>
            <w:col w:w="4380"/>
          </w:cols>
          <w:pgMar w:left="320" w:top="459" w:right="45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Annual</w:t>
            </w:r>
          </w:p>
        </w:tc>
        <w:tc>
          <w:tcPr>
            <w:tcW w:w="4740" w:type="dxa"/>
            <w:vAlign w:val="bottom"/>
          </w:tcPr>
          <w:p>
            <w:pPr>
              <w:ind w:left="20"/>
              <w:spacing w:after="0"/>
              <w:rPr>
                <w:sz w:val="20"/>
                <w:szCs w:val="20"/>
                <w:color w:val="auto"/>
              </w:rPr>
            </w:pPr>
            <w:r>
              <w:rPr>
                <w:rFonts w:ascii="Arial" w:cs="Arial" w:eastAsia="Arial" w:hAnsi="Arial"/>
                <w:sz w:val="18"/>
                <w:szCs w:val="18"/>
                <w:color w:val="auto"/>
                <w:w w:val="89"/>
              </w:rPr>
              <w:t>Under French law, the annual shareholders’ meeting shall be held</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color w:val="auto"/>
                <w:w w:val="88"/>
              </w:rPr>
              <w:t>at such place, on such date and at such time as decided each year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by the board of directors and notified to the shareholders in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convening notice of the annual meeting, within six months after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close of the relevant fiscal year unless such period is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extended by court order.</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Under French law, shareholders’ meetings may be called by the</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board of directors or, failing that, by the statutory auditors, or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a court appointed agent or liquidator in certain circumstances,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by the majority shareholder in capital or voting rights following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public tender offer or exchange offer or the transfer of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controlling block on the date decided by the board of directors 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relevant person.</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Notice of</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A meeting notice (</w:t>
            </w:r>
            <w:r>
              <w:rPr>
                <w:rFonts w:ascii="Arial" w:cs="Arial" w:eastAsia="Arial" w:hAnsi="Arial"/>
                <w:sz w:val="18"/>
                <w:szCs w:val="18"/>
                <w:i w:val="1"/>
                <w:iCs w:val="1"/>
                <w:color w:val="auto"/>
                <w:w w:val="96"/>
              </w:rPr>
              <w:t>avis de réunion</w:t>
            </w:r>
            <w:r>
              <w:rPr>
                <w:rFonts w:ascii="Arial" w:cs="Arial" w:eastAsia="Arial" w:hAnsi="Arial"/>
                <w:sz w:val="18"/>
                <w:szCs w:val="18"/>
                <w:color w:val="auto"/>
                <w:w w:val="96"/>
              </w:rPr>
              <w:t xml:space="preserve">) is published in the </w:t>
            </w:r>
            <w:r>
              <w:rPr>
                <w:rFonts w:ascii="Arial" w:cs="Arial" w:eastAsia="Arial" w:hAnsi="Arial"/>
                <w:sz w:val="18"/>
                <w:szCs w:val="18"/>
                <w:i w:val="1"/>
                <w:iCs w:val="1"/>
                <w:color w:val="auto"/>
                <w:w w:val="96"/>
              </w:rPr>
              <w:t>Bulletin</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des annonces légales obligatoires </w:t>
            </w:r>
            <w:r>
              <w:rPr>
                <w:rFonts w:ascii="Arial" w:cs="Arial" w:eastAsia="Arial" w:hAnsi="Arial"/>
                <w:sz w:val="18"/>
                <w:szCs w:val="18"/>
                <w:color w:val="auto"/>
                <w:w w:val="97"/>
              </w:rPr>
              <w:t>(“BALO”), at least 35 days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Meetings</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prior to a meeting and made available on the website of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company at least 21 days prior to the meeting. Additionally,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convening notice (</w:t>
            </w:r>
            <w:r>
              <w:rPr>
                <w:rFonts w:ascii="Arial" w:cs="Arial" w:eastAsia="Arial" w:hAnsi="Arial"/>
                <w:sz w:val="18"/>
                <w:szCs w:val="18"/>
                <w:i w:val="1"/>
                <w:iCs w:val="1"/>
                <w:color w:val="auto"/>
                <w:w w:val="99"/>
              </w:rPr>
              <w:t>avis de convocation</w:t>
            </w:r>
            <w:r>
              <w:rPr>
                <w:rFonts w:ascii="Arial" w:cs="Arial" w:eastAsia="Arial" w:hAnsi="Arial"/>
                <w:sz w:val="18"/>
                <w:szCs w:val="18"/>
                <w:color w:val="auto"/>
                <w:w w:val="99"/>
              </w:rPr>
              <w:t>) is published at least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15 days prior to the date of the meeting, in a legal announcement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bulletin of the registered office department and in the BALO.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Further, the holders of registered shares (</w:t>
            </w:r>
            <w:r>
              <w:rPr>
                <w:rFonts w:ascii="Arial" w:cs="Arial" w:eastAsia="Arial" w:hAnsi="Arial"/>
                <w:sz w:val="18"/>
                <w:szCs w:val="18"/>
                <w:i w:val="1"/>
                <w:iCs w:val="1"/>
                <w:color w:val="auto"/>
                <w:w w:val="89"/>
              </w:rPr>
              <w:t>actions nominatives</w:t>
            </w:r>
            <w:r>
              <w:rPr>
                <w:rFonts w:ascii="Arial" w:cs="Arial" w:eastAsia="Arial" w:hAnsi="Arial"/>
                <w:sz w:val="18"/>
                <w:szCs w:val="18"/>
                <w:color w:val="auto"/>
                <w:w w:val="89"/>
              </w:rPr>
              <w:t>) for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at least a month at the time of the convening notice shall be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summoned individually, by regular letter (or by registered letter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if they request it and include an advance of expenses) sent to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their last known address. This notice may also be transmitted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electronic means of telecommunication, in lieu of any such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mailing, to any shareholder requesting it beforehand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registered letter with acknowledgment of receipt in accordance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with legal and regulatory requirements, specifying his e-mail</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10"/>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meeting notice must also indicate the conditions under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which the shareholders may vote by correspondence, the places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and conditions in which they can obtain voting forms, and as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case may be, the e-mail address to which they may send written</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questions.</w:t>
            </w:r>
          </w:p>
        </w:tc>
      </w:tr>
      <w:tr>
        <w:trPr>
          <w:trHeight w:val="365"/>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purpose or purposes of the meeting.</w:t>
      </w:r>
    </w:p>
    <w:p>
      <w:pPr>
        <w:sectPr>
          <w:pgSz w:w="11900" w:h="16838" w:orient="portrait"/>
          <w:cols w:equalWidth="0" w:num="2">
            <w:col w:w="6520" w:space="220"/>
            <w:col w:w="4340"/>
          </w:cols>
          <w:pgMar w:left="320" w:top="459" w:right="4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Proxy</w:t>
            </w:r>
          </w:p>
        </w:tc>
        <w:tc>
          <w:tcPr>
            <w:tcW w:w="4740" w:type="dxa"/>
            <w:vAlign w:val="bottom"/>
          </w:tcPr>
          <w:p>
            <w:pPr>
              <w:ind w:left="20"/>
              <w:spacing w:after="0"/>
              <w:rPr>
                <w:sz w:val="20"/>
                <w:szCs w:val="20"/>
                <w:color w:val="auto"/>
              </w:rPr>
            </w:pPr>
            <w:r>
              <w:rPr>
                <w:rFonts w:ascii="Arial" w:cs="Arial" w:eastAsia="Arial" w:hAnsi="Arial"/>
                <w:sz w:val="18"/>
                <w:szCs w:val="18"/>
                <w:color w:val="auto"/>
              </w:rPr>
              <w:t>Each shareholder has the right to attend the meetings and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participate in the discussions (i) personally, (ii) by granting proxy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to any individual or legal entity of his choosing, (iii) by sending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proxy to the company without indication of the mandate (in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which case such proxy shall be cast in favor of the resolutions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supported by the board of directors), (iv) by voting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correspondence or (v) by videoconference or another means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telecommunication allowing identification in accordance with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applicable laws. The proxy is only valid for a single meeting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for successive meetings convened with the same agenda. It can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also be granted for two meetings, one ordinary the other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extraordinary, held on the same day or within a period of 15</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days.</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 Action</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French law, shareholders’ action by written consent is not</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by Written Consent</w:t>
            </w:r>
          </w:p>
        </w:tc>
        <w:tc>
          <w:tcPr>
            <w:tcW w:w="4740" w:type="dxa"/>
            <w:vAlign w:val="bottom"/>
          </w:tcPr>
          <w:p>
            <w:pPr>
              <w:ind w:left="20"/>
              <w:spacing w:after="0"/>
              <w:rPr>
                <w:sz w:val="20"/>
                <w:szCs w:val="20"/>
                <w:color w:val="auto"/>
              </w:rPr>
            </w:pPr>
            <w:r>
              <w:rPr>
                <w:rFonts w:ascii="Arial" w:cs="Arial" w:eastAsia="Arial" w:hAnsi="Arial"/>
                <w:sz w:val="18"/>
                <w:szCs w:val="18"/>
                <w:color w:val="auto"/>
              </w:rPr>
              <w:t xml:space="preserve">permitted in a </w:t>
            </w:r>
            <w:r>
              <w:rPr>
                <w:rFonts w:ascii="Arial" w:cs="Arial" w:eastAsia="Arial" w:hAnsi="Arial"/>
                <w:sz w:val="18"/>
                <w:szCs w:val="18"/>
                <w:i w:val="1"/>
                <w:iCs w:val="1"/>
                <w:color w:val="auto"/>
              </w:rPr>
              <w:t>société anonyme.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Preferential</w:t>
      </w:r>
      <w:r>
        <w:rPr>
          <w:sz w:val="20"/>
          <w:szCs w:val="20"/>
          <w:color w:val="auto"/>
        </w:rPr>
        <w:tab/>
      </w:r>
      <w:r>
        <w:rPr>
          <w:rFonts w:ascii="Arial" w:cs="Arial" w:eastAsia="Arial" w:hAnsi="Arial"/>
          <w:sz w:val="17"/>
          <w:szCs w:val="17"/>
          <w:color w:val="auto"/>
        </w:rPr>
        <w:t>Under French law, in case of issuance of additional shares or</w:t>
      </w:r>
    </w:p>
    <w:p>
      <w:pPr>
        <w:spacing w:after="0" w:line="35"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Subscription Rights</w:t>
      </w:r>
      <w:r>
        <w:rPr>
          <w:sz w:val="20"/>
          <w:szCs w:val="20"/>
          <w:color w:val="auto"/>
        </w:rPr>
        <w:tab/>
      </w:r>
      <w:r>
        <w:rPr>
          <w:rFonts w:ascii="Arial" w:cs="Arial" w:eastAsia="Arial" w:hAnsi="Arial"/>
          <w:sz w:val="16"/>
          <w:szCs w:val="16"/>
          <w:color w:val="auto"/>
        </w:rPr>
        <w:t>other securities for cash or set-off against cash debts, the existing</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shareholders have preferential subscription rights to these</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securities on a pro rata basis unless such rights are waived by a</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two-thirds majority of the votes held by</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shareholders present at the extraordinary meeting deciding or</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authorizing the capital increase, voting in person or represented</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by proxy or voting by mail. In case such rights are not waived by</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extraordinary general meeting, each shareholder may</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individually either exercise, assign or not exercise its preferential</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subscription rights.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p>
      <w:pPr>
        <w:spacing w:after="0" w:line="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6520" w:space="220"/>
            <w:col w:w="4340"/>
          </w:cols>
          <w:pgMar w:left="320" w:top="459" w:right="49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Sources of</w:t>
            </w:r>
          </w:p>
        </w:tc>
        <w:tc>
          <w:tcPr>
            <w:tcW w:w="4740" w:type="dxa"/>
            <w:vAlign w:val="bottom"/>
          </w:tcPr>
          <w:p>
            <w:pPr>
              <w:ind w:left="20"/>
              <w:spacing w:after="0"/>
              <w:rPr>
                <w:sz w:val="20"/>
                <w:szCs w:val="20"/>
                <w:color w:val="auto"/>
              </w:rPr>
            </w:pPr>
            <w:r>
              <w:rPr>
                <w:rFonts w:ascii="Arial" w:cs="Arial" w:eastAsia="Arial" w:hAnsi="Arial"/>
                <w:sz w:val="18"/>
                <w:szCs w:val="18"/>
                <w:color w:val="auto"/>
              </w:rPr>
              <w:t>Under French law, dividends may only be paid by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Dividends</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 xml:space="preserve">French </w:t>
            </w:r>
            <w:r>
              <w:rPr>
                <w:rFonts w:ascii="Arial" w:cs="Arial" w:eastAsia="Arial" w:hAnsi="Arial"/>
                <w:sz w:val="18"/>
                <w:szCs w:val="18"/>
                <w:i w:val="1"/>
                <w:iCs w:val="1"/>
                <w:color w:val="auto"/>
                <w:w w:val="95"/>
              </w:rPr>
              <w:t>société anonyme</w:t>
            </w:r>
            <w:r>
              <w:rPr>
                <w:rFonts w:ascii="Arial" w:cs="Arial" w:eastAsia="Arial" w:hAnsi="Arial"/>
                <w:sz w:val="18"/>
                <w:szCs w:val="18"/>
                <w:color w:val="auto"/>
                <w:w w:val="95"/>
              </w:rPr>
              <w:t xml:space="preserve"> out of “distributable profits,” plus any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distributable reserves and “distributable premium” that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shareholders decide to make available for distribution, other than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those reserves that are specifically required by-law.</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“Distributable profits” consist of the unconsolidated net profits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of the relevant corporation for each fiscal year, as increased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reduced by any profit or loss carried forward from prior years,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8"/>
              </w:rPr>
              <w:t>minus the amounts to be set aside to the statutory reserve (at least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5% of the profit until the reserve has reached 10% of the amount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of the share capital) and to the reserve set forth in the company’s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by-laws (if any).</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“Distributable premium” refers to the contribution paid by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shareholders in addition to the par value of their shares for their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subscription that the shareholders decide to make available for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distribution.</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Except in the case of a share capital reduction, no distribution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can be made to the shareholders when the net equity is, or would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become, lower than the amount of the share capital plus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reserves which cannot be distributed in accordance with the law</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or the by-laws.</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Repurchase of</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Under French law, a corporation may acquire its own shares.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Shares</w:t>
            </w:r>
          </w:p>
        </w:tc>
        <w:tc>
          <w:tcPr>
            <w:tcW w:w="4740" w:type="dxa"/>
            <w:vAlign w:val="bottom"/>
          </w:tcPr>
          <w:p>
            <w:pPr>
              <w:ind w:left="20"/>
              <w:spacing w:after="0"/>
              <w:rPr>
                <w:sz w:val="20"/>
                <w:szCs w:val="20"/>
                <w:color w:val="auto"/>
              </w:rPr>
            </w:pPr>
            <w:r>
              <w:rPr>
                <w:rFonts w:ascii="Arial" w:cs="Arial" w:eastAsia="Arial" w:hAnsi="Arial"/>
                <w:sz w:val="18"/>
                <w:szCs w:val="18"/>
                <w:color w:val="auto"/>
                <w:w w:val="97"/>
              </w:rPr>
              <w:t>Such acquisition may be challenged on the ground of market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abuse regulations. However, MAR provides for safe harbor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exemptions when the acquisition is made for the following</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purposes only:</w:t>
            </w: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•  to decrease its share capital, provided that such</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6"/>
              </w:rPr>
              <w:t>decision is not driven by losses and that a purchase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5"/>
              </w:rPr>
              <w:t>offer is made to all shareholders on a pro rata basis,</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with the approval of the shareholders at the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9"/>
              </w:rPr>
              <w:t>extraordinary general meeting deciding the capital</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reduction; or to meet obligations arising from debt</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securities, that are exchangeable into equity</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instruments.</w:t>
            </w:r>
          </w:p>
        </w:tc>
      </w:tr>
      <w:tr>
        <w:trPr>
          <w:trHeight w:val="378"/>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217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Delaware law, a corporation may generally redeem or repurchase shares of its stock unless the capital of the corporation is impaired or such redemption or repurchase would impair the capital of the corporation.</w:t>
      </w:r>
    </w:p>
    <w:p>
      <w:pPr>
        <w:spacing w:after="0" w:line="7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No such repurchase of shares may result in the company holding, directly or through a person acting on its behalf, more than 10% of its issued share capital.</w:t>
      </w:r>
    </w:p>
    <w:p>
      <w:pPr>
        <w:sectPr>
          <w:pgSz w:w="11900" w:h="16838" w:orient="portrait"/>
          <w:cols w:equalWidth="0" w:num="2">
            <w:col w:w="6520" w:space="220"/>
            <w:col w:w="438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195"/>
        </w:trPr>
        <w:tc>
          <w:tcPr>
            <w:tcW w:w="1660" w:type="dxa"/>
            <w:vAlign w:val="bottom"/>
          </w:tcPr>
          <w:p>
            <w:pPr>
              <w:spacing w:after="0"/>
              <w:rPr>
                <w:sz w:val="16"/>
                <w:szCs w:val="16"/>
                <w:color w:val="auto"/>
              </w:rPr>
            </w:pPr>
          </w:p>
        </w:tc>
        <w:tc>
          <w:tcPr>
            <w:tcW w:w="4740" w:type="dxa"/>
            <w:vAlign w:val="bottom"/>
          </w:tcPr>
          <w:p>
            <w:pPr>
              <w:ind w:left="460"/>
              <w:spacing w:after="0" w:line="195" w:lineRule="exact"/>
              <w:rPr>
                <w:sz w:val="20"/>
                <w:szCs w:val="20"/>
                <w:color w:val="auto"/>
              </w:rPr>
            </w:pPr>
            <w:r>
              <w:rPr>
                <w:rFonts w:ascii="Arial" w:cs="Arial" w:eastAsia="Arial" w:hAnsi="Arial"/>
                <w:sz w:val="18"/>
                <w:szCs w:val="18"/>
                <w:color w:val="auto"/>
              </w:rPr>
              <w:t>•  with a view to distributing within one year of their</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repurchase the relevant shares to employees or</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5"/>
              </w:rPr>
              <w:t>managers under a profit-sharing, free share or share</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option plan; or</w:t>
            </w: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•  under a buy-back program to be authorized by the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shareholders in accordance with the provisions of</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7"/>
              </w:rPr>
              <w:t>Article L. 22-10-62 of the French Commercial Code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4"/>
              </w:rPr>
              <w:t>and in accordance with the general regulations of the</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AMF.</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All other purposes, and especially share buy-backs for external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growth operations by virtue of Article L. 22-10-62 of the French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Commercial Code, while not forbidden, must be pursued in strict</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compliance of market manipulations and insider dealing rules.</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No such repurchase of shares may result in the company holding,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directly or through a person acting on its behalf, more than 10%</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of its issued share capital.</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Under MAR and in accordance with the General Regulations,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corporation shall report to the competent authority of the trading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venue on which the shares have been admitted to trading or are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traded, no later than by the end of the seventh daily market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session following the date of the execution of the transaction, all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the transactions relating to the buy-back program, in a detailed</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form and in an aggregated form.</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Liability of</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Under French law, the by-laws may not include any provisions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 and</w:t>
            </w:r>
          </w:p>
        </w:tc>
        <w:tc>
          <w:tcPr>
            <w:tcW w:w="4740" w:type="dxa"/>
            <w:vAlign w:val="bottom"/>
          </w:tcPr>
          <w:p>
            <w:pPr>
              <w:ind w:left="20"/>
              <w:spacing w:after="0"/>
              <w:rPr>
                <w:sz w:val="20"/>
                <w:szCs w:val="20"/>
                <w:color w:val="auto"/>
              </w:rPr>
            </w:pPr>
            <w:r>
              <w:rPr>
                <w:rFonts w:ascii="Arial" w:cs="Arial" w:eastAsia="Arial" w:hAnsi="Arial"/>
                <w:sz w:val="18"/>
                <w:szCs w:val="18"/>
                <w:color w:val="auto"/>
              </w:rPr>
              <w:t>limiting the liability of directors.</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Officers</w:t>
            </w:r>
          </w:p>
        </w:tc>
        <w:tc>
          <w:tcPr>
            <w:tcW w:w="4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8" w:lineRule="exact"/>
        <w:rPr>
          <w:sz w:val="20"/>
          <w:szCs w:val="20"/>
          <w:color w:val="auto"/>
        </w:rPr>
      </w:pPr>
    </w:p>
    <w:p>
      <w:pPr>
        <w:ind w:left="720" w:right="120" w:hanging="269"/>
        <w:spacing w:after="0" w:line="277" w:lineRule="auto"/>
        <w:rPr>
          <w:sz w:val="20"/>
          <w:szCs w:val="20"/>
          <w:color w:val="auto"/>
        </w:rPr>
      </w:pPr>
      <w:r>
        <w:rPr>
          <w:rFonts w:ascii="Arial" w:cs="Arial" w:eastAsia="Arial" w:hAnsi="Arial"/>
          <w:sz w:val="18"/>
          <w:szCs w:val="18"/>
          <w:color w:val="auto"/>
        </w:rPr>
        <w:t>•  any breach of the director’s duty of loyalty to the corporation or its stockholders;</w:t>
      </w:r>
    </w:p>
    <w:p>
      <w:pPr>
        <w:spacing w:after="0" w:line="76" w:lineRule="exact"/>
        <w:rPr>
          <w:sz w:val="20"/>
          <w:szCs w:val="20"/>
          <w:color w:val="auto"/>
        </w:rPr>
      </w:pPr>
    </w:p>
    <w:p>
      <w:pPr>
        <w:jc w:val="both"/>
        <w:ind w:left="720" w:right="6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89" w:lineRule="exact"/>
        <w:rPr>
          <w:sz w:val="20"/>
          <w:szCs w:val="20"/>
          <w:color w:val="auto"/>
        </w:rPr>
      </w:pPr>
    </w:p>
    <w:p>
      <w:pPr>
        <w:ind w:left="720" w:right="180" w:hanging="269"/>
        <w:spacing w:after="0" w:line="342" w:lineRule="auto"/>
        <w:rPr>
          <w:sz w:val="20"/>
          <w:szCs w:val="20"/>
          <w:color w:val="auto"/>
        </w:rPr>
      </w:pPr>
      <w:r>
        <w:rPr>
          <w:rFonts w:ascii="Arial" w:cs="Arial" w:eastAsia="Arial" w:hAnsi="Arial"/>
          <w:sz w:val="16"/>
          <w:szCs w:val="16"/>
          <w:color w:val="auto"/>
        </w:rPr>
        <w:t>•  intentional or negligent payment of unlawful dividends or stock purchases or redemptions; or</w:t>
      </w:r>
    </w:p>
    <w:p>
      <w:pPr>
        <w:spacing w:after="0" w:line="29" w:lineRule="exact"/>
        <w:rPr>
          <w:sz w:val="20"/>
          <w:szCs w:val="20"/>
          <w:color w:val="auto"/>
        </w:rPr>
      </w:pPr>
    </w:p>
    <w:p>
      <w:pPr>
        <w:ind w:left="720" w:right="20" w:hanging="269"/>
        <w:spacing w:after="0" w:line="277" w:lineRule="auto"/>
        <w:rPr>
          <w:sz w:val="20"/>
          <w:szCs w:val="20"/>
          <w:color w:val="auto"/>
        </w:rPr>
      </w:pPr>
      <w:r>
        <w:rPr>
          <w:rFonts w:ascii="Arial" w:cs="Arial" w:eastAsia="Arial" w:hAnsi="Arial"/>
          <w:sz w:val="18"/>
          <w:szCs w:val="18"/>
          <w:color w:val="auto"/>
        </w:rPr>
        <w:t>•  any transaction from which the director derives an improper personal benefit.</w:t>
      </w:r>
    </w:p>
    <w:p>
      <w:pPr>
        <w:sectPr>
          <w:pgSz w:w="11900" w:h="16838" w:orient="portrait"/>
          <w:cols w:equalWidth="0" w:num="2">
            <w:col w:w="6520" w:space="220"/>
            <w:col w:w="4340"/>
          </w:cols>
          <w:pgMar w:left="320" w:top="459" w:right="49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Voting Rights</w:t>
            </w: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1660" w:type="dxa"/>
            <w:vAlign w:val="bottom"/>
            <w:vMerge w:val="continue"/>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rPr>
              <w:t>French law provides that, unless otherwise provided in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by-laws, each shareholder is entitled to one vote for each share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share capital held by such shareholder. Further, pursuant to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introduction of Law No. 2014-384 dated March 29, 2014 (</w:t>
            </w:r>
            <w:r>
              <w:rPr>
                <w:rFonts w:ascii="Arial" w:cs="Arial" w:eastAsia="Arial" w:hAnsi="Arial"/>
                <w:sz w:val="18"/>
                <w:szCs w:val="18"/>
                <w:i w:val="1"/>
                <w:iCs w:val="1"/>
                <w:color w:val="auto"/>
                <w:w w:val="97"/>
              </w:rPr>
              <w:t>Loi</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w w:val="90"/>
              </w:rPr>
              <w:t>Florange</w:t>
            </w:r>
            <w:r>
              <w:rPr>
                <w:rFonts w:ascii="Arial" w:cs="Arial" w:eastAsia="Arial" w:hAnsi="Arial"/>
                <w:sz w:val="18"/>
                <w:szCs w:val="18"/>
                <w:color w:val="auto"/>
                <w:w w:val="90"/>
              </w:rPr>
              <w:t>), shares registered for more than two years in the name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of the same shareholder are automatically be granted double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voting rights from 2016, unless the by-laws expressly reject this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measure.</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 Vote</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Generally, under French law, completion of a merger, dissolution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on Certain</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or sale or exchange of all or substantially all of a corporation’s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Transactions</w:t>
            </w:r>
          </w:p>
        </w:tc>
        <w:tc>
          <w:tcPr>
            <w:tcW w:w="4740" w:type="dxa"/>
            <w:vAlign w:val="bottom"/>
          </w:tcPr>
          <w:p>
            <w:pPr>
              <w:ind w:left="20"/>
              <w:spacing w:after="0"/>
              <w:rPr>
                <w:sz w:val="20"/>
                <w:szCs w:val="20"/>
                <w:color w:val="auto"/>
              </w:rPr>
            </w:pPr>
            <w:r>
              <w:rPr>
                <w:rFonts w:ascii="Arial" w:cs="Arial" w:eastAsia="Arial" w:hAnsi="Arial"/>
                <w:sz w:val="18"/>
                <w:szCs w:val="18"/>
                <w:color w:val="auto"/>
              </w:rPr>
              <w:t>assets (</w:t>
            </w:r>
            <w:r>
              <w:rPr>
                <w:rFonts w:ascii="Arial" w:cs="Arial" w:eastAsia="Arial" w:hAnsi="Arial"/>
                <w:sz w:val="18"/>
                <w:szCs w:val="18"/>
                <w:i w:val="1"/>
                <w:iCs w:val="1"/>
                <w:color w:val="auto"/>
              </w:rPr>
              <w:t>apport partiel d’actifs</w:t>
            </w:r>
            <w:r>
              <w:rPr>
                <w:rFonts w:ascii="Arial" w:cs="Arial" w:eastAsia="Arial" w:hAnsi="Arial"/>
                <w:sz w:val="18"/>
                <w:szCs w:val="18"/>
                <w:color w:val="auto"/>
              </w:rPr>
              <w:t>) requires:</w:t>
            </w: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•  the approval of the board of directors; and</w:t>
            </w:r>
          </w:p>
        </w:tc>
        <w:tc>
          <w:tcPr>
            <w:tcW w:w="0" w:type="dxa"/>
            <w:vAlign w:val="bottom"/>
          </w:tcPr>
          <w:p>
            <w:pPr>
              <w:spacing w:after="0"/>
              <w:rPr>
                <w:sz w:val="1"/>
                <w:szCs w:val="1"/>
                <w:color w:val="auto"/>
              </w:rPr>
            </w:pP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w w:val="95"/>
              </w:rPr>
              <w:t>•  approval by a two-thirds majority of the votes held by</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9"/>
              </w:rPr>
              <w:t>the shareholders present, represented by proxy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1"/>
              </w:rPr>
              <w:t>voting by mail at the relevant meeting or, in the case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a merger with a non-EU company, approval of all</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shareholders of the 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Dissent or</w:t>
      </w:r>
      <w:r>
        <w:rPr>
          <w:sz w:val="20"/>
          <w:szCs w:val="20"/>
          <w:color w:val="auto"/>
        </w:rPr>
        <w:tab/>
      </w:r>
      <w:r>
        <w:rPr>
          <w:rFonts w:ascii="Arial" w:cs="Arial" w:eastAsia="Arial" w:hAnsi="Arial"/>
          <w:sz w:val="16"/>
          <w:szCs w:val="16"/>
          <w:color w:val="auto"/>
        </w:rPr>
        <w:t>French law does not provide for any such right but provides that</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Dissenters</w:t>
      </w:r>
      <w:r>
        <w:rPr>
          <w:sz w:val="20"/>
          <w:szCs w:val="20"/>
          <w:color w:val="auto"/>
        </w:rPr>
        <w:tab/>
      </w:r>
      <w:r>
        <w:rPr>
          <w:rFonts w:ascii="Arial" w:cs="Arial" w:eastAsia="Arial" w:hAnsi="Arial"/>
          <w:sz w:val="17"/>
          <w:szCs w:val="17"/>
          <w:color w:val="auto"/>
        </w:rPr>
        <w:t>a merger is subject to shareholders’ approval by a two-thirds</w:t>
      </w:r>
    </w:p>
    <w:p>
      <w:pPr>
        <w:spacing w:after="0" w:line="2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Appraisal Rights</w:t>
      </w:r>
      <w:r>
        <w:rPr>
          <w:sz w:val="20"/>
          <w:szCs w:val="20"/>
          <w:color w:val="auto"/>
        </w:rPr>
        <w:tab/>
      </w:r>
      <w:r>
        <w:rPr>
          <w:rFonts w:ascii="Arial" w:cs="Arial" w:eastAsia="Arial" w:hAnsi="Arial"/>
          <w:sz w:val="16"/>
          <w:szCs w:val="16"/>
          <w:color w:val="auto"/>
        </w:rPr>
        <w:t>majority vote,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Generally, under Delaware law, unless the certificate of incorporation pro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vides for the vote of a larger portion of shares, completion of a merger, consolidation, sale, lease or exchange of all or substantially all of a corporation’s assets or dissolution requires: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•  the approval of the board of directors; and</w:t>
      </w:r>
    </w:p>
    <w:p>
      <w:pPr>
        <w:spacing w:after="0" w:line="131" w:lineRule="exact"/>
        <w:rPr>
          <w:sz w:val="20"/>
          <w:szCs w:val="20"/>
          <w:color w:val="auto"/>
        </w:rPr>
      </w:pPr>
    </w:p>
    <w:p>
      <w:pPr>
        <w:ind w:left="720" w:hanging="269"/>
        <w:spacing w:after="0" w:line="255" w:lineRule="auto"/>
        <w:rPr>
          <w:sz w:val="20"/>
          <w:szCs w:val="20"/>
          <w:color w:val="auto"/>
        </w:rPr>
      </w:pPr>
      <w:r>
        <w:rPr>
          <w:rFonts w:ascii="Arial" w:cs="Arial" w:eastAsia="Arial" w:hAnsi="Arial"/>
          <w:sz w:val="18"/>
          <w:szCs w:val="18"/>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w:t>
      </w:r>
    </w:p>
    <w:p>
      <w:pPr>
        <w:spacing w:after="0" w:line="5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assets for shares.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•  shares of stock of the surviving corporation;</w:t>
      </w:r>
    </w:p>
    <w:p>
      <w:pPr>
        <w:sectPr>
          <w:pgSz w:w="11900" w:h="16838" w:orient="portrait"/>
          <w:cols w:equalWidth="0" w:num="2">
            <w:col w:w="6520" w:space="220"/>
            <w:col w:w="438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15240</wp:posOffset>
            </wp:positionV>
            <wp:extent cx="30003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Standard of</w:t>
      </w:r>
      <w:r>
        <w:rPr>
          <w:sz w:val="20"/>
          <w:szCs w:val="20"/>
          <w:color w:val="auto"/>
        </w:rPr>
        <w:tab/>
      </w:r>
      <w:r>
        <w:rPr>
          <w:rFonts w:ascii="Arial" w:cs="Arial" w:eastAsia="Arial" w:hAnsi="Arial"/>
          <w:sz w:val="16"/>
          <w:szCs w:val="16"/>
          <w:color w:val="auto"/>
        </w:rPr>
        <w:t>French law does not contain specific provisions setting forth the</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Conduct for</w:t>
      </w:r>
      <w:r>
        <w:rPr>
          <w:sz w:val="20"/>
          <w:szCs w:val="20"/>
          <w:color w:val="auto"/>
        </w:rPr>
        <w:tab/>
      </w:r>
      <w:r>
        <w:rPr>
          <w:rFonts w:ascii="Arial" w:cs="Arial" w:eastAsia="Arial" w:hAnsi="Arial"/>
          <w:sz w:val="16"/>
          <w:szCs w:val="16"/>
          <w:color w:val="auto"/>
        </w:rPr>
        <w:t>standard of conduct of a director. However, directors have a duty</w:t>
      </w:r>
    </w:p>
    <w:p>
      <w:pPr>
        <w:spacing w:after="0" w:line="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to act without self-interest, on a well-informed basis, and not to</w:t>
      </w:r>
    </w:p>
    <w:p>
      <w:pPr>
        <w:spacing w:after="0" w:line="32" w:lineRule="exact"/>
        <w:rPr>
          <w:sz w:val="20"/>
          <w:szCs w:val="20"/>
          <w:color w:val="auto"/>
        </w:rPr>
      </w:pPr>
    </w:p>
    <w:p>
      <w:pPr>
        <w:ind w:left="1800" w:right="460"/>
        <w:spacing w:after="0" w:line="260" w:lineRule="auto"/>
        <w:rPr>
          <w:sz w:val="20"/>
          <w:szCs w:val="20"/>
          <w:color w:val="auto"/>
        </w:rPr>
      </w:pPr>
      <w:r>
        <w:rPr>
          <w:rFonts w:ascii="Arial" w:cs="Arial" w:eastAsia="Arial" w:hAnsi="Arial"/>
          <w:sz w:val="18"/>
          <w:szCs w:val="18"/>
          <w:color w:val="auto"/>
        </w:rPr>
        <w:t>take any decision against a corporation’s corporate interest (</w:t>
      </w:r>
      <w:r>
        <w:rPr>
          <w:rFonts w:ascii="Arial" w:cs="Arial" w:eastAsia="Arial" w:hAnsi="Arial"/>
          <w:sz w:val="18"/>
          <w:szCs w:val="18"/>
          <w:i w:val="1"/>
          <w:iCs w:val="1"/>
          <w:color w:val="auto"/>
        </w:rPr>
        <w:t>intérêt social</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6"/>
          <w:szCs w:val="16"/>
          <w:color w:val="auto"/>
        </w:rPr>
        <w:t>French law provides that a shareholder, or a group of</w:t>
      </w:r>
    </w:p>
    <w:p>
      <w:pPr>
        <w:spacing w:after="0" w:line="23" w:lineRule="exact"/>
        <w:rPr>
          <w:sz w:val="20"/>
          <w:szCs w:val="20"/>
          <w:color w:val="auto"/>
        </w:rPr>
      </w:pPr>
    </w:p>
    <w:p>
      <w:pPr>
        <w:ind w:left="1800" w:right="40"/>
        <w:spacing w:after="0" w:line="290" w:lineRule="auto"/>
        <w:rPr>
          <w:sz w:val="20"/>
          <w:szCs w:val="20"/>
          <w:color w:val="auto"/>
        </w:rPr>
      </w:pPr>
      <w:r>
        <w:rPr>
          <w:rFonts w:ascii="Arial" w:cs="Arial" w:eastAsia="Arial" w:hAnsi="Arial"/>
          <w:sz w:val="16"/>
          <w:szCs w:val="16"/>
          <w:color w:val="auto"/>
        </w:rPr>
        <w:t>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spacing w:after="0" w:line="6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plaintiff must remain a shareholder through the duration of</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legal action.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There is no other case where shareholders may initiate a</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derivative action to enforce a right of a corporation.</w:t>
      </w:r>
    </w:p>
    <w:p>
      <w:pPr>
        <w:spacing w:after="0" w:line="116" w:lineRule="exact"/>
        <w:rPr>
          <w:sz w:val="20"/>
          <w:szCs w:val="20"/>
          <w:color w:val="auto"/>
        </w:rPr>
      </w:pPr>
    </w:p>
    <w:p>
      <w:pPr>
        <w:ind w:left="1800"/>
        <w:spacing w:after="0" w:line="257" w:lineRule="auto"/>
        <w:rPr>
          <w:sz w:val="20"/>
          <w:szCs w:val="20"/>
          <w:color w:val="auto"/>
        </w:rPr>
      </w:pPr>
      <w:r>
        <w:rPr>
          <w:rFonts w:ascii="Arial" w:cs="Arial" w:eastAsia="Arial" w:hAnsi="Arial"/>
          <w:sz w:val="18"/>
          <w:szCs w:val="18"/>
          <w:color w:val="auto"/>
        </w:rPr>
        <w:t>A shareholder may alternatively or cumulatively bring individual legal action against the directors, provided he has suffered distinct damages from those suffered by the corporation. In this case, any damages awarded by the court are paid to the relevant shareholder.</w:t>
      </w:r>
    </w:p>
    <w:p>
      <w:pPr>
        <w:spacing w:after="0" w:line="200" w:lineRule="exact"/>
        <w:rPr>
          <w:sz w:val="20"/>
          <w:szCs w:val="20"/>
          <w:color w:val="auto"/>
        </w:rPr>
      </w:pPr>
    </w:p>
    <w:p>
      <w:pPr>
        <w:spacing w:after="0" w:line="39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 w:lineRule="exact"/>
        <w:rPr>
          <w:sz w:val="20"/>
          <w:szCs w:val="20"/>
          <w:color w:val="auto"/>
        </w:rPr>
      </w:pPr>
    </w:p>
    <w:p>
      <w:pPr>
        <w:jc w:val="both"/>
        <w:ind w:left="720" w:right="20" w:hanging="269"/>
        <w:spacing w:after="0" w:line="285" w:lineRule="auto"/>
        <w:rPr>
          <w:sz w:val="20"/>
          <w:szCs w:val="20"/>
          <w:color w:val="auto"/>
        </w:rPr>
      </w:pPr>
      <w:r>
        <w:rPr>
          <w:rFonts w:ascii="Arial" w:cs="Arial" w:eastAsia="Arial" w:hAnsi="Arial"/>
          <w:sz w:val="17"/>
          <w:szCs w:val="17"/>
          <w:color w:val="auto"/>
        </w:rPr>
        <w:t>•  shares of another corporation that are either listed on a national securities exchange or held of record by more than 2,000 stockholders;</w:t>
      </w:r>
    </w:p>
    <w:p>
      <w:pPr>
        <w:spacing w:after="0" w:line="71" w:lineRule="exact"/>
        <w:rPr>
          <w:sz w:val="20"/>
          <w:szCs w:val="20"/>
          <w:color w:val="auto"/>
        </w:rPr>
      </w:pPr>
    </w:p>
    <w:p>
      <w:pPr>
        <w:ind w:left="720" w:right="260" w:hanging="269"/>
        <w:spacing w:after="0" w:line="342" w:lineRule="auto"/>
        <w:rPr>
          <w:sz w:val="20"/>
          <w:szCs w:val="20"/>
          <w:color w:val="auto"/>
        </w:rPr>
      </w:pPr>
      <w:r>
        <w:rPr>
          <w:rFonts w:ascii="Arial" w:cs="Arial" w:eastAsia="Arial" w:hAnsi="Arial"/>
          <w:sz w:val="16"/>
          <w:szCs w:val="16"/>
          <w:color w:val="auto"/>
        </w:rPr>
        <w:t>•  cash in lieu of fractional shares of the stock described in the two preceding bullet points; or</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•  any combination of the above.</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appraisal rights are not available to holders of shares of the surviving corporation in specified mergers that do not require the vote of the stockholders of the surviving corporation.</w:t>
      </w:r>
    </w:p>
    <w:p>
      <w:pPr>
        <w:spacing w:after="0" w:line="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5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54" w:lineRule="exact"/>
        <w:rPr>
          <w:sz w:val="20"/>
          <w:szCs w:val="20"/>
          <w:color w:val="auto"/>
        </w:rPr>
      </w:pPr>
    </w:p>
    <w:p>
      <w:pPr>
        <w:jc w:val="both"/>
        <w:ind w:left="720" w:hanging="269"/>
        <w:spacing w:after="0" w:line="279" w:lineRule="auto"/>
        <w:rPr>
          <w:sz w:val="20"/>
          <w:szCs w:val="20"/>
          <w:color w:val="auto"/>
        </w:rPr>
      </w:pPr>
      <w:r>
        <w:rPr>
          <w:rFonts w:ascii="Arial" w:cs="Arial" w:eastAsia="Arial" w:hAnsi="Arial"/>
          <w:sz w:val="17"/>
          <w:szCs w:val="17"/>
          <w:color w:val="auto"/>
        </w:rPr>
        <w:t>•  state that the plaintiff was a stockholder at the time of the transaction of which the plaintiff complains or that the plaintiff’s shares thereafter devolved on the plaintiff by operation of law; and</w:t>
      </w:r>
    </w:p>
    <w:p>
      <w:pPr>
        <w:spacing w:after="0" w:line="77" w:lineRule="exact"/>
        <w:rPr>
          <w:sz w:val="20"/>
          <w:szCs w:val="20"/>
          <w:color w:val="auto"/>
        </w:rPr>
      </w:pPr>
    </w:p>
    <w:p>
      <w:pPr>
        <w:ind w:left="720" w:right="220" w:hanging="269"/>
        <w:spacing w:after="0" w:line="301" w:lineRule="auto"/>
        <w:rPr>
          <w:sz w:val="20"/>
          <w:szCs w:val="20"/>
          <w:color w:val="auto"/>
        </w:rPr>
      </w:pPr>
      <w:r>
        <w:rPr>
          <w:rFonts w:ascii="Arial" w:cs="Arial" w:eastAsia="Arial" w:hAnsi="Arial"/>
          <w:sz w:val="16"/>
          <w:szCs w:val="16"/>
          <w:color w:val="auto"/>
        </w:rPr>
        <w:t>•  allege with particularity the efforts made by the plaintiff to obtain the action the plaintiff desires from the directors and the reasons for the plaintiff’s failure to obtain the action; or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ind w:left="720" w:right="80" w:hanging="269"/>
        <w:spacing w:after="0" w:line="275" w:lineRule="auto"/>
        <w:rPr>
          <w:sz w:val="20"/>
          <w:szCs w:val="20"/>
          <w:color w:val="auto"/>
        </w:rPr>
      </w:pPr>
      <w:r>
        <w:rPr>
          <w:rFonts w:ascii="Arial" w:cs="Arial" w:eastAsia="Arial" w:hAnsi="Arial"/>
          <w:sz w:val="17"/>
          <w:szCs w:val="17"/>
          <w:color w:val="auto"/>
        </w:rPr>
        <w:t>•  Additionally,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480" w:space="260"/>
            <w:col w:w="4360"/>
          </w:cols>
          <w:pgMar w:left="320" w:top="459" w:right="47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Amendment of Certificate of Incorporation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30003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Unlike companies incorporated under Delaware law, the organizational documents, which comprise both a certificate of incorporation and by-laws, companies incorporated under French law only have by-laws (</w:t>
      </w:r>
      <w:r>
        <w:rPr>
          <w:rFonts w:ascii="Arial" w:cs="Arial" w:eastAsia="Arial" w:hAnsi="Arial"/>
          <w:sz w:val="16"/>
          <w:szCs w:val="16"/>
          <w:i w:val="1"/>
          <w:iCs w:val="1"/>
          <w:color w:val="auto"/>
        </w:rPr>
        <w:t>statuts</w:t>
      </w:r>
      <w:r>
        <w:rPr>
          <w:rFonts w:ascii="Arial" w:cs="Arial" w:eastAsia="Arial" w:hAnsi="Arial"/>
          <w:sz w:val="16"/>
          <w:szCs w:val="16"/>
          <w:color w:val="auto"/>
        </w:rPr>
        <w:t>) as organizational documents.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indicated in the paragraph below, only the extraordinary shareholders’ meeting is authorized under French law to adopt or amend the by-laws.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Under Delaware law, generally a corporation may amend its certificate of incorporation if:</w:t>
      </w:r>
    </w:p>
    <w:p>
      <w:pPr>
        <w:spacing w:after="0" w:line="79" w:lineRule="exact"/>
        <w:rPr>
          <w:sz w:val="20"/>
          <w:szCs w:val="20"/>
          <w:color w:val="auto"/>
        </w:rPr>
      </w:pPr>
    </w:p>
    <w:p>
      <w:pPr>
        <w:ind w:left="720" w:right="360" w:hanging="269"/>
        <w:spacing w:after="0" w:line="286" w:lineRule="auto"/>
        <w:rPr>
          <w:sz w:val="20"/>
          <w:szCs w:val="20"/>
          <w:color w:val="auto"/>
        </w:rPr>
      </w:pPr>
      <w:r>
        <w:rPr>
          <w:rFonts w:ascii="Arial" w:cs="Arial" w:eastAsia="Arial" w:hAnsi="Arial"/>
          <w:sz w:val="17"/>
          <w:szCs w:val="17"/>
          <w:color w:val="auto"/>
        </w:rPr>
        <w:t>•  its board of directors has adopted a resolution setting forth the amendment proposed and declared its advisability; and</w:t>
      </w:r>
    </w:p>
    <w:p>
      <w:pPr>
        <w:spacing w:after="0" w:line="71" w:lineRule="exact"/>
        <w:rPr>
          <w:sz w:val="20"/>
          <w:szCs w:val="20"/>
          <w:color w:val="auto"/>
        </w:rPr>
      </w:pPr>
    </w:p>
    <w:p>
      <w:pPr>
        <w:ind w:left="720" w:hanging="269"/>
        <w:spacing w:after="0" w:line="270" w:lineRule="auto"/>
        <w:rPr>
          <w:sz w:val="20"/>
          <w:szCs w:val="20"/>
          <w:color w:val="auto"/>
        </w:rPr>
      </w:pPr>
      <w:r>
        <w:rPr>
          <w:rFonts w:ascii="Arial" w:cs="Arial" w:eastAsia="Arial" w:hAnsi="Arial"/>
          <w:sz w:val="17"/>
          <w:szCs w:val="17"/>
          <w:color w:val="auto"/>
        </w:rPr>
        <w:t>•  the amendment is adopted by the affirmative votes of a majority (or greater percentage as may be 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86" w:lineRule="exact"/>
        <w:rPr>
          <w:sz w:val="20"/>
          <w:szCs w:val="20"/>
          <w:color w:val="auto"/>
        </w:rPr>
      </w:pPr>
    </w:p>
    <w:p>
      <w:pPr>
        <w:sectPr>
          <w:pgSz w:w="11900" w:h="16838" w:orient="portrait"/>
          <w:cols w:equalWidth="0" w:num="3">
            <w:col w:w="1200" w:space="600"/>
            <w:col w:w="4700" w:space="240"/>
            <w:col w:w="4340"/>
          </w:cols>
          <w:pgMar w:left="320" w:top="459" w:right="499" w:bottom="1440" w:gutter="0" w:footer="0" w:header="0"/>
          <w:type w:val="continuous"/>
        </w:sectPr>
      </w:pPr>
    </w:p>
    <w:p>
      <w:pPr>
        <w:ind w:left="120"/>
        <w:spacing w:after="0"/>
        <w:tabs>
          <w:tab w:leader="none" w:pos="1780" w:val="left"/>
        </w:tabs>
        <w:rPr>
          <w:sz w:val="20"/>
          <w:szCs w:val="20"/>
          <w:color w:val="auto"/>
        </w:rPr>
      </w:pPr>
      <w:r>
        <w:rPr>
          <w:rFonts w:ascii="Arial" w:cs="Arial" w:eastAsia="Arial" w:hAnsi="Arial"/>
          <w:sz w:val="18"/>
          <w:szCs w:val="18"/>
          <w:color w:val="auto"/>
        </w:rPr>
        <w:t>Amendment of</w:t>
      </w:r>
      <w:r>
        <w:rPr>
          <w:sz w:val="20"/>
          <w:szCs w:val="20"/>
          <w:color w:val="auto"/>
        </w:rPr>
        <w:tab/>
      </w:r>
      <w:r>
        <w:rPr>
          <w:rFonts w:ascii="Arial" w:cs="Arial" w:eastAsia="Arial" w:hAnsi="Arial"/>
          <w:sz w:val="16"/>
          <w:szCs w:val="16"/>
          <w:color w:val="auto"/>
        </w:rPr>
        <w:t>Under French law, only the extraordinary shareholders’ meeting</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6"/>
          <w:szCs w:val="16"/>
          <w:color w:val="auto"/>
        </w:rPr>
        <w:t>is authorized to adopt or amend the by-laws (two-thirds</w:t>
      </w:r>
    </w:p>
    <w:p>
      <w:pPr>
        <w:spacing w:after="0" w:line="9" w:lineRule="exact"/>
        <w:rPr>
          <w:sz w:val="20"/>
          <w:szCs w:val="20"/>
          <w:color w:val="auto"/>
        </w:rPr>
      </w:pPr>
    </w:p>
    <w:p>
      <w:pPr>
        <w:ind w:left="1800"/>
        <w:spacing w:after="0" w:line="251" w:lineRule="auto"/>
        <w:rPr>
          <w:sz w:val="20"/>
          <w:szCs w:val="20"/>
          <w:color w:val="auto"/>
        </w:rPr>
      </w:pPr>
      <w:r>
        <w:rPr>
          <w:rFonts w:ascii="Arial" w:cs="Arial" w:eastAsia="Arial" w:hAnsi="Arial"/>
          <w:sz w:val="18"/>
          <w:szCs w:val="18"/>
          <w:color w:val="auto"/>
        </w:rPr>
        <w:t>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Under Delaware law, the stockholders entitled to vote have the power to adopt, amend or repeal by-laws. A corporation may also confer, in its certificate of incorporation, that power upon the board of directors.</w:t>
      </w:r>
    </w:p>
    <w:p>
      <w:pPr>
        <w:spacing w:after="0" w:line="1914" w:lineRule="exact"/>
        <w:rPr>
          <w:sz w:val="20"/>
          <w:szCs w:val="20"/>
          <w:color w:val="auto"/>
        </w:rPr>
      </w:pPr>
    </w:p>
    <w:p>
      <w:pPr>
        <w:sectPr>
          <w:pgSz w:w="11900" w:h="16838" w:orient="portrait"/>
          <w:cols w:equalWidth="0" w:num="2">
            <w:col w:w="6440" w:space="300"/>
            <w:col w:w="4340"/>
          </w:cols>
          <w:pgMar w:left="320" w:top="459" w:right="499" w:bottom="1440" w:gutter="0" w:footer="0" w:header="0"/>
          <w:type w:val="continuous"/>
        </w:sectPr>
      </w:pPr>
    </w:p>
    <w:p>
      <w:pPr>
        <w:ind w:left="120" w:right="280" w:firstLine="440"/>
        <w:spacing w:after="0" w:line="277" w:lineRule="auto"/>
        <w:rPr>
          <w:sz w:val="20"/>
          <w:szCs w:val="20"/>
          <w:color w:val="auto"/>
        </w:rPr>
      </w:pPr>
      <w:r>
        <w:rPr>
          <w:rFonts w:ascii="Arial" w:cs="Arial" w:eastAsia="Arial" w:hAnsi="Arial"/>
          <w:sz w:val="18"/>
          <w:szCs w:val="18"/>
          <w:color w:val="auto"/>
        </w:rPr>
        <w:t>We have been approved to list our ADSs on the Nasdaq Global Market under the symbol “ABVX.” Our ordinary shares are currently listed on Euronext Paris under the symbol “ABVX.”</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080"/>
          </w:cols>
          <w:pgMar w:left="320" w:top="459" w:right="49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ADSs by Non-French Residents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Arial" w:cs="Arial" w:eastAsia="Arial" w:hAnsi="Arial"/>
          <w:sz w:val="17"/>
          <w:szCs w:val="17"/>
          <w:i w:val="1"/>
          <w:iCs w:val="1"/>
          <w:color w:val="auto"/>
        </w:rPr>
        <w:t>Banque de</w:t>
      </w:r>
      <w:r>
        <w:rPr>
          <w:rFonts w:ascii="Arial" w:cs="Arial" w:eastAsia="Arial" w:hAnsi="Arial"/>
          <w:sz w:val="17"/>
          <w:szCs w:val="17"/>
          <w:color w:val="auto"/>
        </w:rPr>
        <w:t xml:space="preserve"> </w:t>
      </w:r>
      <w:r>
        <w:rPr>
          <w:rFonts w:ascii="Arial" w:cs="Arial" w:eastAsia="Arial" w:hAnsi="Arial"/>
          <w:sz w:val="17"/>
          <w:szCs w:val="17"/>
          <w:i w:val="1"/>
          <w:iCs w:val="1"/>
          <w:color w:val="auto"/>
        </w:rPr>
        <w:t>France</w:t>
      </w:r>
      <w:r>
        <w:rPr>
          <w:rFonts w:ascii="Arial" w:cs="Arial" w:eastAsia="Arial" w:hAnsi="Arial"/>
          <w:sz w:val="17"/>
          <w:szCs w:val="17"/>
          <w:color w:val="auto"/>
        </w:rPr>
        <w:t>) within 20 working days following the date of certain direct foreign investments in us, including any purchase of our ADSs. In particular, such</w:t>
      </w:r>
      <w:r>
        <w:rPr>
          <w:rFonts w:ascii="Arial" w:cs="Arial" w:eastAsia="Arial" w:hAnsi="Arial"/>
          <w:sz w:val="17"/>
          <w:szCs w:val="17"/>
          <w:i w:val="1"/>
          <w:iCs w:val="1"/>
          <w:color w:val="auto"/>
        </w:rPr>
        <w:t xml:space="preserve"> </w:t>
      </w:r>
      <w:r>
        <w:rPr>
          <w:rFonts w:ascii="Arial" w:cs="Arial" w:eastAsia="Arial" w:hAnsi="Arial"/>
          <w:sz w:val="17"/>
          <w:szCs w:val="17"/>
          <w:color w:val="auto"/>
        </w:rPr>
        <w:t>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any investment:</w:t>
      </w:r>
    </w:p>
    <w:p>
      <w:pPr>
        <w:spacing w:after="0" w:line="225" w:lineRule="exact"/>
        <w:rPr>
          <w:sz w:val="20"/>
          <w:szCs w:val="20"/>
          <w:color w:val="auto"/>
        </w:rPr>
      </w:pPr>
    </w:p>
    <w:p>
      <w:pPr>
        <w:ind w:left="120" w:right="220" w:firstLine="436"/>
        <w:spacing w:after="0" w:line="277" w:lineRule="auto"/>
        <w:tabs>
          <w:tab w:leader="none" w:pos="7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(a) any non-French citizen, (b) any French citizen not residing in France, (c) any non-French entity or (d) any French entity controlled by one of the aforementioned persons or entities;</w:t>
      </w:r>
    </w:p>
    <w:p>
      <w:pPr>
        <w:spacing w:after="0" w:line="170" w:lineRule="exact"/>
        <w:rPr>
          <w:rFonts w:ascii="Arial" w:cs="Arial" w:eastAsia="Arial" w:hAnsi="Arial"/>
          <w:sz w:val="18"/>
          <w:szCs w:val="18"/>
          <w:color w:val="auto"/>
        </w:rPr>
      </w:pPr>
    </w:p>
    <w:p>
      <w:pPr>
        <w:ind w:left="120" w:right="60" w:firstLine="436"/>
        <w:spacing w:after="0" w:line="263" w:lineRule="auto"/>
        <w:tabs>
          <w:tab w:leader="none" w:pos="82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83" w:lineRule="exact"/>
        <w:rPr>
          <w:rFonts w:ascii="Arial" w:cs="Arial" w:eastAsia="Arial" w:hAnsi="Arial"/>
          <w:sz w:val="18"/>
          <w:szCs w:val="18"/>
          <w:color w:val="auto"/>
        </w:rPr>
      </w:pPr>
    </w:p>
    <w:p>
      <w:pPr>
        <w:ind w:left="120" w:right="140" w:firstLine="436"/>
        <w:spacing w:after="0" w:line="254" w:lineRule="auto"/>
        <w:tabs>
          <w:tab w:leader="none" w:pos="8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 is subject to the prior authorization of the French Ministry of Economy, which authorization may be conditioned on certain undertakings.</w:t>
      </w:r>
    </w:p>
    <w:p>
      <w:pPr>
        <w:spacing w:after="0" w:line="19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Decree (</w:t>
      </w:r>
      <w:r>
        <w:rPr>
          <w:rFonts w:ascii="Arial" w:cs="Arial" w:eastAsia="Arial" w:hAnsi="Arial"/>
          <w:sz w:val="17"/>
          <w:szCs w:val="17"/>
          <w:i w:val="1"/>
          <w:iCs w:val="1"/>
          <w:color w:val="auto"/>
        </w:rPr>
        <w:t>décret</w:t>
      </w:r>
      <w:r>
        <w:rPr>
          <w:rFonts w:ascii="Arial" w:cs="Arial" w:eastAsia="Arial" w:hAnsi="Arial"/>
          <w:sz w:val="17"/>
          <w:szCs w:val="17"/>
          <w:color w:val="auto"/>
        </w:rPr>
        <w:t xml:space="preserve">) No. 2020 892 dated July 22, 2020, as amended on December 28, 2020 by the Decree No. 2020-1729 on December 22, 2021 by the Decree No. 2021-1758, and lastly on December 23, 2022 by the Decree </w:t>
      </w:r>
      <w:r>
        <w:rPr>
          <w:rFonts w:ascii="Arial" w:cs="Arial" w:eastAsia="Arial" w:hAnsi="Arial"/>
          <w:sz w:val="17"/>
          <w:szCs w:val="17"/>
          <w:i w:val="1"/>
          <w:iCs w:val="1"/>
          <w:color w:val="auto"/>
        </w:rPr>
        <w:t>(décret)</w:t>
      </w:r>
      <w:r>
        <w:rPr>
          <w:rFonts w:ascii="Arial" w:cs="Arial" w:eastAsia="Arial" w:hAnsi="Arial"/>
          <w:sz w:val="17"/>
          <w:szCs w:val="17"/>
          <w:color w:val="auto"/>
        </w:rPr>
        <w:t xml:space="preserve"> n° 2022-1622 has implemented a 10% threshold of the voting rights for the non-EU/EEA investments made (i) in an entity incorporated under the laws of France and (ii) whose shares are admitted to trading on a regulated market, in addition to the 25% above-mentioned threshold. Set to expire on December 31, 2023, this 10% threshold could become permanent.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xml:space="preserve">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w:t>
      </w:r>
    </w:p>
    <w:p>
      <w:pPr>
        <w:spacing w:after="0" w:line="18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Controls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Europe plc located at 1 North Wall Quay, Dublin 1, Ireland.</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will appoint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333-  when retrieving such copy.</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ordinary share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7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76"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shareholder. </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Cash</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France.</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Shares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8"/>
          <w:szCs w:val="18"/>
          <w:u w:val="single" w:color="auto"/>
          <w:color w:val="auto"/>
        </w:rPr>
        <w:t>either</w:t>
      </w:r>
      <w:r>
        <w:rPr>
          <w:rFonts w:ascii="Arial" w:cs="Arial" w:eastAsia="Arial" w:hAnsi="Arial"/>
          <w:sz w:val="18"/>
          <w:szCs w:val="18"/>
          <w:color w:val="auto"/>
        </w:rPr>
        <w:t xml:space="preserve"> distribute to holders new ADSs representing the ordinary shares deposited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Rights</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Elective Distributions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Distributions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pay such taxes and governmental charges, the depositary bank may sell all or a portion of the property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60"/>
          </w:cols>
          <w:pgMar w:left="320" w:top="459" w:right="51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After the closing of the offer,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bank. As such, you will be deemed to represent and warrant that: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are duly authorized, validly issued, fully paid, non-assessable and legally obtained.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duly authorized to deposit the ordinary shares.</w:t>
      </w:r>
    </w:p>
    <w:p>
      <w:pPr>
        <w:spacing w:after="0" w:line="117"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62" w:lineRule="exact"/>
        <w:rPr>
          <w:sz w:val="20"/>
          <w:szCs w:val="20"/>
          <w:color w:val="auto"/>
        </w:rPr>
      </w:pPr>
    </w:p>
    <w:p>
      <w:pPr>
        <w:ind w:left="560" w:right="3080"/>
        <w:spacing w:after="0" w:line="422" w:lineRule="auto"/>
        <w:rPr>
          <w:sz w:val="20"/>
          <w:szCs w:val="20"/>
          <w:color w:val="auto"/>
        </w:rPr>
      </w:pPr>
      <w:r>
        <w:rPr>
          <w:rFonts w:ascii="Arial" w:cs="Arial" w:eastAsia="Arial" w:hAnsi="Arial"/>
          <w:sz w:val="16"/>
          <w:szCs w:val="16"/>
          <w:color w:val="auto"/>
        </w:rPr>
        <w:t>ensure that the surrendered ADR is properly endorsed or otherwise in proper form for transfer; provide such proof of identity and genuineness of signatures as the depositary bank deems appropriate; provide any transfer stamps required by the State of New York or the United States; and</w:t>
      </w:r>
    </w:p>
    <w:p>
      <w:pPr>
        <w:spacing w:after="0" w:line="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French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Obligations to pay fees, taxes and similar charges.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bank to exercise the voting rights for the ordinary shares represented by your ADSs. The voting rights of holders of ordinary shares are described in the section of this prospectus entitled “Description of Share Capital.”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060"/>
          </w:cols>
          <w:pgMar w:left="320" w:top="459" w:right="51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depositary bank timely receives voting instructions from a holder of ADSs, it will endeavor to vote the securities (in person or by proxy) represented by the holder’s ADSs in accordance with such voting instructions.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Fees</w:t>
            </w:r>
          </w:p>
        </w:tc>
      </w:tr>
      <w:tr>
        <w:trPr>
          <w:trHeight w:val="175"/>
        </w:trPr>
        <w:tc>
          <w:tcPr>
            <w:tcW w:w="570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 ordinary</w:t>
            </w:r>
          </w:p>
        </w:tc>
        <w:tc>
          <w:tcPr>
            <w:tcW w:w="14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shares, upon a change in the ADS(s)-to-ordinary share ratio, or for any other</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9"/>
              </w:rPr>
              <w:t>reason), excluding ADS issuances as a result of distributions of ordinary</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4"/>
              </w:rPr>
              <w:t>Cancellation of ADSs (e.g., a cancellation of ADSs for delivery of deposited</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cancelled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property, upon a change in the ADS(s)-to-ordinary share ratio, or for any</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Distribution of cash dividends or other cash distributions (e.g., upon a sale of</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rights and other entitlements)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share dividends or other free share</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Distribution of securities other than ADSs or rights to purchase additional</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ADSs (e.g., upon a spin-off)</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9"/>
              </w:rPr>
              <w:t>Registration of ADS transfers (e.g., upon a registration of the transfer of</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 xml:space="preserve">registered ownership of ADSs, upon a transfer of ADSs into DTC and </w:t>
            </w:r>
            <w:r>
              <w:rPr>
                <w:rFonts w:ascii="Arial" w:cs="Arial" w:eastAsia="Arial" w:hAnsi="Arial"/>
                <w:sz w:val="18"/>
                <w:szCs w:val="18"/>
                <w:i w:val="1"/>
                <w:iCs w:val="1"/>
                <w:color w:val="auto"/>
                <w:w w:val="96"/>
              </w:rPr>
              <w:t>vice</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Conversion of ADSs of one series for ADSs of another series (e.g., upon</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conversion of Partial Entitlement ADSs for Full Entitlement ADSs, or upon</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5"/>
              </w:rPr>
              <w:t>conversion of Restricted ADSs (each as defined in the Deposit Agreement)</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taxes (including applicable interest and penalties) and other governmental charges;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cable, telex and facsimile transmission and delivery expenses;</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6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fees, charges, costs and expenses incurred by the depositary bank, the custodian, or any nominee in connection with the ADR program.</w:t>
      </w:r>
    </w:p>
    <w:p>
      <w:pPr>
        <w:spacing w:after="0" w:line="23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60" w:hanging="4"/>
        <w:spacing w:after="0" w:line="255" w:lineRule="auto"/>
        <w:tabs>
          <w:tab w:leader="none" w:pos="3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fees and charges you are required to pay. In addition, we may not be able to provide you with prior notice of any modifications or supplements that are required to accommodate compliance with applicable provisions of law.</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35"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determine the lawfulness or practicality of any action, for the content of any document forwarded to you on our behalf or for the accuracy of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311" w:lineRule="auto"/>
        <w:rPr>
          <w:sz w:val="20"/>
          <w:szCs w:val="20"/>
          <w:color w:val="auto"/>
        </w:rPr>
      </w:pPr>
      <w:r>
        <w:rPr>
          <w:rFonts w:ascii="Arial" w:cs="Arial" w:eastAsia="Arial" w:hAnsi="Arial"/>
          <w:sz w:val="16"/>
          <w:szCs w:val="16"/>
          <w:color w:val="auto"/>
        </w:rPr>
        <w:t>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54"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We and the depositary bank will not be obligated to perform any act that is inconsistent with the terms of the deposit agreement.</w:t>
      </w:r>
    </w:p>
    <w:p>
      <w:pPr>
        <w:spacing w:after="0" w:line="142" w:lineRule="exact"/>
        <w:rPr>
          <w:rFonts w:ascii="Arial" w:cs="Arial" w:eastAsia="Arial" w:hAnsi="Arial"/>
          <w:sz w:val="17"/>
          <w:szCs w:val="17"/>
          <w:color w:val="auto"/>
        </w:rPr>
      </w:pPr>
    </w:p>
    <w:p>
      <w:pPr>
        <w:ind w:left="1080" w:right="260" w:hanging="424"/>
        <w:spacing w:after="0" w:line="25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by-laws or in any provisions of or governing the securities on deposit.</w:t>
      </w:r>
    </w:p>
    <w:p>
      <w:pPr>
        <w:spacing w:after="0" w:line="75"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jc w:val="both"/>
        <w:ind w:left="1080" w:right="360" w:hanging="424"/>
        <w:spacing w:after="0" w:line="342"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and the depositary bank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75"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i w:val="1"/>
          <w:iCs w:val="1"/>
          <w:color w:val="auto"/>
        </w:rPr>
        <w:t>thereunder. In fact, you cannot waive our or the depositary’s compliance with U.S. federal securities laws and the rules and regulations promulgated thereunder.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4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62"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us or the Depositary may only be instituted in a state or federal court in the city of New York.</w:t>
      </w:r>
    </w:p>
    <w:p>
      <w:pPr>
        <w:spacing w:after="0" w:line="166"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global offering, no public market existed in the United States for our ordinary shares or the ADSs. Future sales of ADSs in the public market after the global offering, and the availability of ADSs for future sale, could adversely affect the market price of the ADSs prevailing from time to time. As described below, a significant number of currently outstanding ordinary shares will not be available for sale shortly after the global offering due to contractual restrictions on transfers of ordinary shares. Accordingly, sales of substantial amounts of the ADSs or the ordinary shares, or the perception that these sales could occur, could adversely affect prevailing market prices for the ADSs and could impair our future ability to raise equity capital.</w:t>
      </w:r>
    </w:p>
    <w:p>
      <w:pPr>
        <w:spacing w:after="0" w:line="16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Based on the number of ordinary shares outstanding on June 30, 2023, upon completion of the global offering, 62,873,068 ordinary shares (including ordinary shares represented by ADSs) will be outstanding, assuming no outstanding options or warrants are exercised. All of the ADSs sold in the global offering will be freely tradable without restrictions or further registration under the Securities Act, except for any ADSs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under the Securities Act.</w:t>
      </w:r>
    </w:p>
    <w:p>
      <w:pPr>
        <w:spacing w:after="0" w:line="178"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Additionally, of the options, convertible bonds and warrants to purchase 1,464,227 ordinary shares outstanding as of June 30, 2023 and assuming no outstanding options, convertible bonds or warrants are exercised and no exercise of the underwriters’ option to purchase 3,048,825 additional ADSs and/or ordinary shares, options and warrants exercisable for 1,200,130 ordinary shares will be vested and eligible for sale 90 days after the date of this prospectus subject to French law, as described below.</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the lock-up agreements described below and the provisions of Rules 144 and 701 under the Securities Act and French law, and assuming no exercise of the underwriters’ option to purchase 3,048,825 additional ADSs and/or ordinary shares, these restricted securities will be available for sale in the public market as follows:</w:t>
      </w:r>
    </w:p>
    <w:p>
      <w:pPr>
        <w:spacing w:after="0" w:line="89" w:lineRule="exact"/>
        <w:rPr>
          <w:sz w:val="20"/>
          <w:szCs w:val="20"/>
          <w:color w:val="auto"/>
        </w:rPr>
      </w:pPr>
    </w:p>
    <w:p>
      <w:pPr>
        <w:ind w:left="1080" w:right="40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Approximately 52,845,545 ordinary shares (including ordinary shares represented by ADSs and any securities that may be sold to our affiliates in this offering) will be eligible for immediate sale on the date of this prospectus; and</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10,027,523 ordinary shares (including ordinary shares represented by ADSs and excluding any securities that may be sold to our affiliates in this offering) will be eligible for sale upon the expiration of the lock-up agreements 90 days after the date of this prospectus, provided that shares held by our affiliates will remain subject to volume, manner of sale and other resale limitations set forth in Rule 144 of the Securities Act, as described below and subject to French law, both as described above.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Law</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Under French law, and notably under the General Regulation issued by the French Financial Market Authority (</w:t>
      </w:r>
      <w:r>
        <w:rPr>
          <w:rFonts w:ascii="Arial" w:cs="Arial" w:eastAsia="Arial" w:hAnsi="Arial"/>
          <w:sz w:val="16"/>
          <w:szCs w:val="16"/>
          <w:i w:val="1"/>
          <w:iCs w:val="1"/>
          <w:color w:val="auto"/>
        </w:rPr>
        <w:t>Réglement Général de l’AMF</w:t>
      </w:r>
      <w:r>
        <w:rPr>
          <w:rFonts w:ascii="Arial" w:cs="Arial" w:eastAsia="Arial" w:hAnsi="Arial"/>
          <w:sz w:val="16"/>
          <w:szCs w:val="16"/>
          <w:color w:val="auto"/>
        </w:rPr>
        <w:t>), as well as under EU Market Abuse Regulation 596/2014 of April 16, 2014 (MAR), any person that holds inside information shall, until such information is made public, refrain from (i) carrying out any transactions relating to securities issued by the company, (ii) recommending that another person engage in insider dealing or inducing another person to engage in insider dealing, and (iii) unlawfully disclosing inside information outside of the normal exercise of an employment, a profession or duties. The use of inside information by cancelling or amending an order concerning a financial instrument to which the information relates where the order was placed before the person concerned possessed the inside information, shall also be considered to be insider dealing. These rules apply to all persons who hold inside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services providers, lawyers or public relations agencies, (2) their holding of securities in the share capital of the company, and/or (3) their access to information because of their employment, profession or duties or their participation in the preparation of a financial transaction.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MAR and the General Regulation of the French Financial Market Authority, it is also prohibited for a person to engage or attempt to engage in market manipulation.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Prohibited transactions include all transactions related to securities (shares, securities convertible, options and warrants), and in particular,</w:t>
      </w:r>
    </w:p>
    <w:p>
      <w:pPr>
        <w:spacing w:after="0" w:line="35" w:lineRule="exact"/>
        <w:rPr>
          <w:sz w:val="20"/>
          <w:szCs w:val="20"/>
          <w:color w:val="auto"/>
        </w:rPr>
      </w:pPr>
    </w:p>
    <w:p>
      <w:pPr>
        <w:ind w:left="120" w:right="20" w:hanging="4"/>
        <w:spacing w:after="0" w:line="260" w:lineRule="auto"/>
        <w:tabs>
          <w:tab w:leader="none" w:pos="3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transfer of securities, (ii) exercise of options, warrants (including founder’s share warrants (BCE) or share warrants (BSA)), exercise of any securities giving access to the capital, (iii) transfer of free shares (AGA) and (iv) acquisition of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that are restricted shares for at least six months but who are its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3" w:lineRule="exact"/>
        <w:rPr>
          <w:sz w:val="20"/>
          <w:szCs w:val="20"/>
          <w:color w:val="auto"/>
        </w:rPr>
      </w:pPr>
    </w:p>
    <w:p>
      <w:pPr>
        <w:ind w:left="1080" w:right="140" w:hanging="424"/>
        <w:spacing w:after="0" w:line="342"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1% of the number of our ordinary shares then outstanding, which will equal approximately 628,730 ordinary shares immediately after the global offering, assuming no exercise of the underwriter’s option to purchase 3,048,825 additional ADSs and/or ordinary shares; or</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Market during the four calendar weeks preceding the filing of a notice on Form 144 with respect to the sale,</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above.</w:t>
      </w:r>
    </w:p>
    <w:p>
      <w:pPr>
        <w:spacing w:after="0" w:line="4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However, all Rule 701 shares are subject to lock-up agreements as described below and in the section of this prospectus titled “Underwriters” and will not become eligible for sale until the expiration of the restrictions set forth in those agreements. In addition, any Rule 701 shares held by employees who are French tax residents and who were granted share options prior to September 28, 2012, may be subject to an additional holding period under the terms of the applicable share option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prospectus-delivery requirements of the Securities Act. Accordingly, restricted securities may be sold in offshore transactions in compliance with Regulation 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security holders possess registration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our officers, directors and certain of our existing shareholders have agreed, among other things and subject to certain exceptions, with the underwriters not to nor publicly disclose the intention to, during the period ending 90 days after the date of this prospectus, directly or indirectly, offer, pledge, sell, contract to sell, sell any option or contract to purchase, purchase any option or contract to sell, grant any option, right or warrant for the sale of, enter into any hedging, swap or any other agreement or otherwise transfer or dispose of any ordinary shares, ADSs or any securities convertible into, exercisable or exchangeable for our ordinary shares or ADSs, except with the prior written consent of the representatives of the underwriters. See “Underwriters.”</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do not expect any release of ordinary shares or ADSs subject to lock-up agreements prior to the expiration of the lock-up period. Upon the expiration of the lock-up period, substantially all of the ordinary shares (which may be in the form of ADSs) subject to such lock-up restrictions will become eligible for sale, subject to the limitations described above.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Morgan Stanley &amp; Co. LLC and Leerink Partners LLC, in their sole discretion, may release the securities subject to the lock-up agreements described above in whole or in part at any time.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UNITED STATES FEDERAL INCOME AND FRENCH TAX CONSIDERATIONS</w:t>
      </w:r>
    </w:p>
    <w:p>
      <w:pPr>
        <w:spacing w:after="0" w:line="229"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i w:val="1"/>
          <w:iCs w:val="1"/>
          <w:color w:val="auto"/>
        </w:rPr>
        <w:t>The summary set forth below describes certain French and U.S. federal income tax consequences relating to the purchase, ownership and disposition of the ADSs to U.S. Holders (as defined below) as of the date hereof. This summary does not represent a detailed description of the tax consequences applicable to a U.S. Holder that is subject to special treatment under the U.S. federal tax laws, including, without limitation:</w:t>
      </w:r>
    </w:p>
    <w:p>
      <w:pPr>
        <w:spacing w:after="0" w:line="54"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traders in securities who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the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real estate investment trusts, grantor trusts or other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tax exempt entities, including “individual retirement accounts” and “Roth IRAs”;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other pass-through entities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persons holding ADSs in connection with a trade or business, permanent establishment, or fixed base outside the United States.</w:t>
      </w:r>
    </w:p>
    <w:p>
      <w:pPr>
        <w:spacing w:after="0" w:line="233" w:lineRule="exact"/>
        <w:rPr>
          <w:sz w:val="20"/>
          <w:szCs w:val="20"/>
          <w:color w:val="auto"/>
        </w:rPr>
      </w:pPr>
    </w:p>
    <w:p>
      <w:pPr>
        <w:jc w:val="both"/>
        <w:ind w:left="120" w:right="80" w:firstLine="440"/>
        <w:spacing w:after="0" w:line="289" w:lineRule="auto"/>
        <w:rPr>
          <w:sz w:val="20"/>
          <w:szCs w:val="20"/>
          <w:color w:val="auto"/>
        </w:rPr>
      </w:pPr>
      <w:r>
        <w:rPr>
          <w:rFonts w:ascii="Arial" w:cs="Arial" w:eastAsia="Arial" w:hAnsi="Arial"/>
          <w:sz w:val="17"/>
          <w:szCs w:val="17"/>
          <w:b w:val="1"/>
          <w:bCs w:val="1"/>
          <w:color w:val="auto"/>
        </w:rPr>
        <w:t>This summary is for general information only. Prospective Investors considering the purchase, ownership or disposition of the ADSs are advised to consult their own tax advisers concerning the French and U.S. federal income tax consequences in light of their particular facts and circumstances, as well as any consequences arising under the laws of any other taxing jurisdiction.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Income Tax Considerations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describes the material French income tax consequences to U.S. Holders (as defined below) of purchasing, owning and disposing of our ADSs and, unless otherwise noted, this discussion is the opinion of Dechert, our French tax counsel, insofar as it relates to matters of French tax law and legal conclusions with respect to those matters.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2011, France introduced a comprehensive set of new tax rules applicable to French assets that are held by or in foreign trusts. These rules, among other things, provide for the inclusion of trust assets in the settlor’s net assets for purpose of applying the former French wealth tax (replaced by the French real estate wealth tax as from January 1, 2018), for the application of French gift and death duties to French assets held in trust, for 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specific tax on capital on the French assets of foreign trusts not already subject to the former French wealth tax (replaced by the French real estate wealth tax as from January 1, 2018) and for a number of French tax reporting and disclosure obligations. The following discussion does not address the French tax consequences applicable to ADSs held in trusts. If ADSs are held in trust, the grantor, trustee and beneficiary are urged to consult their own tax adviser regarding the specific tax consequences of acquiring, owning and disposing of ADSs.</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or the Treaty and the tax guidelines issued by the French tax authorities in force as of the date of this prospectus.</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purposes of this discussion, the term “U.S. Holder” means a beneficial owner of ADSs that is (or is treated as), for U.S. federal income tax purposes: (1) an individual who is a U.S. citizen or resident, (2) a corporation or other entity that is treated as a corporation for U.S. federal income tax purposes, created or organized in or under the laws of the United States or any state thereof, including the District of Colombia, (3) otherwise subject to U.S. federal income taxation or (4) 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a partnership (or any other entity treated as partnership for U.S. federal income tax purposes) holds ADSs, the tax treatment of the partnership and a partner in such partnership generally will depend upon the status of the partner and the activities of the partnership. If a U.S. Holder is a partnership or a partner in a partnership that holds ADSs, such holder is urged to consult its own tax adviser regarding the specific tax consequences of acquiring, owning and disposing of securities.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 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spacing w:after="0" w:line="19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 Holders are urged to consult their own tax advisers regarding the tax consequences of the purchase, ownership and disposition of securities in light of their particular circumstances, especially with regard to the “Limitations on Benefits” provision.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Estate and Gift Taxes and Transfer Taxes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general, a transfer of securities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unless (i) the donor or the transferor is domiciled in France at the time of making the gift or at the time of his or her death, or (ii) the securities were used in, or held for use in, the conduct of a business through a permanent establishment or a fixed base in France.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Transactions Tax</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Article 235 ter ZD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xml:space="preserve">) (the “FTC”), purchases of certain securities issued by a French company, including ordinary shares (which may be in the form of ADSs), which are listed on a regulated market of the EU or an exchange market formally acknowledged by the Minister of Economy, after consultation opinion from the AMF (in each case within the meaning of the French Monetary and Financial Code (the “FMFC”)) are subject in France to a 0.3% tax on financial transactions (the “TFT”), provided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that the issuer’s market capitalization exceeds €1 billion as of December 1 of the year preceding the taxation year.</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Nasdaq Global Market, on which ADSs will be listed, is not currently acknowledged by the French Minister of Economy, but it may change in the future.</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Moreover, a list of French relevant companies whose market capitalization exceeds €1 billion as of December 1 of the year preceding the taxation year is published annually by the French State. The last version of such list was dated December 21, 2022 (BOI-ANNX-000467). It did not include Abivax SA as its market capitalization did not exceed €1.0 billion.</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Following the global offering, purchases of our ADSs may thus be subject to the TFT if (1) Abivax SA’s market capitalization exceeds €1.0 billion, and (2) the Nasdaq Global Market is acknowledged by the French Minister of Economy.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Duties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case where the TFT is not applicable, (1) transfers of shares issued by a French company which are listed on a regulated or organized market within the meaning of the FMFC are subject to uncapped registration duties at the rate of 0.1% if the transfer is evidenced by a written statement (“acte”)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ordinary shares of Abivax SA are listed on Euronext Paris, which is a regulated market within the meaning of the FMFC, their transfer should be subject to uncapped registration duties at the rate of 0.1% only if such transfer is evidenced by a written agreement. Although the official guidelines published by the French tax authorities are silent on this point (BOI-ENR-DMTOM-40-10-10-12/09/2012), ADSs should remain outside of the scope of the aforementioned 0.1% registration duties.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Real Estate Wealth Tax</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Since January 1, 2018, the French wealth tax (</w:t>
      </w:r>
      <w:r>
        <w:rPr>
          <w:rFonts w:ascii="Arial" w:cs="Arial" w:eastAsia="Arial" w:hAnsi="Arial"/>
          <w:sz w:val="18"/>
          <w:szCs w:val="18"/>
          <w:i w:val="1"/>
          <w:iCs w:val="1"/>
          <w:color w:val="auto"/>
        </w:rPr>
        <w:t>impôt de solidarité sur la fortune</w:t>
      </w:r>
      <w:r>
        <w:rPr>
          <w:rFonts w:ascii="Arial" w:cs="Arial" w:eastAsia="Arial" w:hAnsi="Arial"/>
          <w:sz w:val="18"/>
          <w:szCs w:val="18"/>
          <w:color w:val="auto"/>
        </w:rPr>
        <w:t>) has been repealed and replaced by the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scope of such new tax is narrowed to real estate assets (and certain assets deemed to be real estate assets) or rights, held directly or indirectly through one or more legal entities and whose net taxable assets amount at least to €1,300,000.</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Broadly, subject to provisions of double tax treaties and to certain exceptions, individuals who are not residents of France for tax purposes within the meaning of Article 4 B of the FTC, are subject to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in France in respect of the portion of the value of their shares of our company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Under the Treaty (the provisions of which should be applicable to this new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in France), the French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will however generally not apply to securities held by an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080"/>
          </w:cols>
          <w:pgMar w:left="320" w:top="459" w:right="49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eligible U.S. Holder who is a U.S. resident, as defined pursuant to the provisions of the Treaty, provided that such (i) U.S. Holder (a) does not own directly or indirectly more than 25% of the issuer’s financial rights and (b) that the ADSs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U.S. Holders are advised to consult their own tax advisor regarding the specific tax consequences which may apply to their particular situation with respect to such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Dividends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Dividends paid by a French corporation to non-residents of France are generally subject to French withholding tax at a rate of currently (i) 25% for dividends paid to legal persons which are not French tax residents, and (ii) 12.8% for dividends paid to individuals who are not French tax residents. Dividends paid by a French corporation in a non-cooperative State or territory, as defined in Article 238-0 A of the FTC, other than those states or territories mentioned in 2° of 2 bis of the same Article 238-0 A will generally be subject to French withholding tax at a rate of 75%. However, eligible U.S. Holders entitled to Treaty benefits under the “Limitation on Benefits” provision contained in the Treaty who are U.S. residents, as defined pursuant to the provisions of the Treaty, will not be subject to this 12.8%, 25% or 75% withholding tax rate, but may be subject to the withholding tax at a reduced rate (as described below).</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Treaty, the rate of French withholding tax on dividends paid to an eligible U.S. Holder who is a U.S. resident as defined pursuant to the provisions of the Treaty and the beneficial owner of these dividends, and whose ownership of the ordinary shares (which may be in the form of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7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complicated, and certain technical changes were made to these requirements by the protocol of January 13, 2009. U.S. Holders are advised to consult their own tax advisers regarding their eligibility for Treaty benefits in light of their own particular circumstances.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paid to an eligible U.S. Holder may immediately be subject to the reduced rates of 5% or 15% provided that:</w:t>
      </w:r>
    </w:p>
    <w:p>
      <w:pPr>
        <w:spacing w:after="0" w:line="131" w:lineRule="exact"/>
        <w:rPr>
          <w:sz w:val="20"/>
          <w:szCs w:val="20"/>
          <w:color w:val="auto"/>
        </w:rPr>
      </w:pPr>
    </w:p>
    <w:p>
      <w:pPr>
        <w:ind w:left="1080" w:right="260" w:hanging="424"/>
        <w:spacing w:after="0" w:line="308" w:lineRule="auto"/>
        <w:tabs>
          <w:tab w:leader="none" w:pos="10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such holder establishes before the date of payment that it is a U.S. resident under the Treaty by completing and providing the depositary with a treaty form (Form 5000) in accordance with French guidelines (BOI-INT-DG-20-20-20-20-12/09/2012); or</w:t>
      </w:r>
    </w:p>
    <w:p>
      <w:pPr>
        <w:spacing w:after="0" w:line="51" w:lineRule="exact"/>
        <w:rPr>
          <w:rFonts w:ascii="Arial" w:cs="Arial" w:eastAsia="Arial" w:hAnsi="Arial"/>
          <w:sz w:val="17"/>
          <w:szCs w:val="17"/>
          <w:color w:val="auto"/>
        </w:rPr>
      </w:pPr>
    </w:p>
    <w:p>
      <w:pPr>
        <w:ind w:left="1080" w:right="180" w:hanging="424"/>
        <w:spacing w:after="0" w:line="259"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securities account in the U.S. of such U.S. Holder provides the French paying agent with a document listing certain information about the U.S. Holder and its ordinary shares or ADSs and a certificate (BOI-LETTRE-000138-28/07/2014) whereby the financial institution managing the U.S. Holder’s securities account in the United States takes full responsibility for the accuracy of the information provided in the document.</w:t>
      </w:r>
    </w:p>
    <w:p>
      <w:pPr>
        <w:spacing w:after="0" w:line="18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Otherwise, dividends paid to a U.S. Holder, if such U.S. Holder is a legal person, will be subject to French withholding tax at the rate of 25%, or 75% if paid in a non-cooperative State or territory (as defined in Article 238-0 A of the FTC, but other than those states or territories mentioned in 2° of 2 bis of the same Article 238-0 A), and then reduced at a later date to 5% or 15%, provided that such holder duly completes and provides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French tax authorities with the treaty forms Form 5000 and Form 5001 before December 31 of the second calendar year following the year during which the dividend is paid.</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Since the withholding tax rate applicable under French domestic law to U.S. Holders who are individuals does not exceed the cap provided in the Treaty (i.e., 15%), the 12.8% rate shall apply, without any reduction provided under the Treaty.</w:t>
      </w:r>
    </w:p>
    <w:p>
      <w:pPr>
        <w:spacing w:after="0" w:line="170"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 xml:space="preserve">Besides, please note that pursuant to Article 235 </w:t>
      </w:r>
      <w:r>
        <w:rPr>
          <w:rFonts w:ascii="Arial" w:cs="Arial" w:eastAsia="Arial" w:hAnsi="Arial"/>
          <w:sz w:val="17"/>
          <w:szCs w:val="17"/>
          <w:i w:val="1"/>
          <w:iCs w:val="1"/>
          <w:color w:val="auto"/>
        </w:rPr>
        <w:t>quater</w:t>
      </w:r>
      <w:r>
        <w:rPr>
          <w:rFonts w:ascii="Arial" w:cs="Arial" w:eastAsia="Arial" w:hAnsi="Arial"/>
          <w:sz w:val="17"/>
          <w:szCs w:val="17"/>
          <w:color w:val="auto"/>
        </w:rPr>
        <w:t xml:space="preserve"> of the FTC (introduced by the French finance bill No. 2019-1479 for 2020)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 making position, as well as in the cases set out in Article 235 </w:t>
      </w:r>
      <w:r>
        <w:rPr>
          <w:rFonts w:ascii="Arial" w:cs="Arial" w:eastAsia="Arial" w:hAnsi="Arial"/>
          <w:sz w:val="17"/>
          <w:szCs w:val="17"/>
          <w:i w:val="1"/>
          <w:iCs w:val="1"/>
          <w:color w:val="auto"/>
        </w:rPr>
        <w:t>quater</w:t>
      </w:r>
      <w:r>
        <w:rPr>
          <w:rFonts w:ascii="Arial" w:cs="Arial" w:eastAsia="Arial" w:hAnsi="Arial"/>
          <w:sz w:val="17"/>
          <w:szCs w:val="17"/>
          <w:color w:val="auto"/>
        </w:rPr>
        <w:t xml:space="preserve"> of the FTC. Finance Bill for 2022 extended the deadline to claim the refund (December 31 of the second year following the year of payment instead of three months after the end of the fiscal year following the payment of the income) and clarify the order in which the deferred taxes become due (the forfeiture of the deferral applies in priority to the oldest withholding taxes). Also, pursuant to newly introduced Article 235 </w:t>
      </w:r>
      <w:r>
        <w:rPr>
          <w:rFonts w:ascii="Arial" w:cs="Arial" w:eastAsia="Arial" w:hAnsi="Arial"/>
          <w:sz w:val="17"/>
          <w:szCs w:val="17"/>
          <w:i w:val="1"/>
          <w:iCs w:val="1"/>
          <w:color w:val="auto"/>
        </w:rPr>
        <w:t>quinquies</w:t>
      </w:r>
      <w:r>
        <w:rPr>
          <w:rFonts w:ascii="Arial" w:cs="Arial" w:eastAsia="Arial" w:hAnsi="Arial"/>
          <w:sz w:val="17"/>
          <w:szCs w:val="17"/>
          <w:color w:val="auto"/>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on Sale or Other Disposition</w:t>
      </w:r>
    </w:p>
    <w:p>
      <w:pPr>
        <w:spacing w:after="0" w:line="12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general, under the Treaty, a U.S. Holder who is a U.S. resident for purposes of the Treaty will not be subject to French tax on any capital gain from the redemption (other than redemption proceeds characterized as dividends under French domestic tax law or administrative guidelines), sale or exchange of ADSs unless the ADSs form part of the business property of a permanent establishment or fixed base that the U.S. Holder has in France.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U.S. Holders who are residents of more than one country.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acquiring, owning and disposing of the ADSs. It is not a comprehensive description of all tax considerations that may be relevant to a particular person’s decision to acquire securities. This discussion applies only to a U.S. Holder that is an initial purchaser of the ADSs pursuant to the global offering and that will hold such ADSs as “capital assets” (generally, property held for investment) under the U.S. Internal Revenue Code of 1986, as amended (the “Code”). In addition, it does not describe all of the tax considerations that may be relevant in light of a U.S. Holder’s particular circumstances, including U.S. federal estate, gift, Medicare contribution tax on net investment income, and alternative minimum tax considerations, the special tax accounting rules under</w:t>
      </w:r>
    </w:p>
    <w:p>
      <w:pPr>
        <w:spacing w:after="0" w:line="4"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Section 451(b) of the Code, any state, local, or non-U.S. tax considerations, and tax considerations applicable to U.S. Holders subject to special rules, including, without limitation:</w:t>
      </w:r>
    </w:p>
    <w:p>
      <w:pPr>
        <w:spacing w:after="0" w:line="91"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traders in securities who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the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real estate investment trusts, grantor trusts or other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tax exempt entities, including “individual retirement accounts” and “Roth IRAs”;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other pass-through entities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persons holding ADSs in connection with a trade or business, permanent establishment, or fixed base outside the United States.</w:t>
      </w:r>
    </w:p>
    <w:p>
      <w:pPr>
        <w:spacing w:after="0" w:line="23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the ADSs, the U.S. federal income tax treatment of a partner in that partnership will generally depend on the status of the partner and the activities of the partnership. Partnerships holding the ADSs and partners in such partnerships are encouraged to consult their own tax advisers as to the particular U.S. federal income tax consequences of acquiring, owning, and disposing of the ADSs.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description is based on the Code, existing, proposed and temporary U.S. Treasury Regulations promulgated thereunder and administrative and judicial interpretations thereof, in each case as in effect and available on the date hereof. All of the foregoing is subject to change, which change could apply retroactively, and to differing interpretations, all of which could affect the tax considerations described below. No rulings have been sought from the U.S. Internal Revenue Service (the “IRS”), regarding the matters discussed herein and there can be no assurance that the IRS will not take a contrary position concerning the tax consequences of the acquisition, ownership and disposition of the ADSs or that such a position would not be sustained. U.S. Holders should consult their own tax advisers concerning the U.S. federal, state, local and non-U.S. tax consequences of acquiring, owning, and disposing of the ADSs in their particular circumstances.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for purposes of this section “—Material U.S. Federal Income Tax Considerations for U.S. Holders”, “U.S. Holder” is a holder who, for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 federal income tax purposes, is a beneficial owner of the ADSs that is an initial purchaser of the ADSs pursuant to the global offering and is:</w:t>
      </w:r>
    </w:p>
    <w:p>
      <w:pPr>
        <w:spacing w:after="0" w:line="128"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 estate whose income is eligible for inclusion in gross income for U.S. federal income tax purposes, regardless of its source; or</w:t>
      </w:r>
    </w:p>
    <w:p>
      <w:pPr>
        <w:spacing w:after="0" w:line="142" w:lineRule="exact"/>
        <w:rPr>
          <w:rFonts w:ascii="Arial" w:cs="Arial" w:eastAsia="Arial" w:hAnsi="Arial"/>
          <w:sz w:val="17"/>
          <w:szCs w:val="17"/>
          <w:color w:val="auto"/>
        </w:rPr>
      </w:pPr>
    </w:p>
    <w:p>
      <w:pPr>
        <w:ind w:left="1080" w:hanging="424"/>
        <w:spacing w:after="0" w:line="311" w:lineRule="auto"/>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trust’s administration and one or more United States persons (as such term is defined under the Code) have authority to control all substantial decisions of the trust, or (B) the trust has a valid election in place under applicable U.S. Treasury regulations to treat the trust as a United States person (as such term is defined under the Code).</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discussion below assumes that the representations contained in the depositary agreement are true and that the obligations in the deposit agreement and any related agreement will be complied with in accordance with its terms. For U.S. federal income tax purposes, it is generally expected that a U.S. Holder of ADSs will be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20"/>
          </w:cols>
          <w:pgMar w:left="320" w:top="459" w:right="5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treated as the beneficial owner of the underlying ordinary shares represented by the ADSs. The remainder of this discussion assumes that a U.S. Holder of our ADSs will be treated in this manner. Accordingly, deposits or withdrawals of ADSs for ordinary shares will generally not be subject to U.S. federal income tax.</w:t>
      </w:r>
    </w:p>
    <w:p>
      <w:pPr>
        <w:spacing w:after="0" w:line="180" w:lineRule="exact"/>
        <w:rPr>
          <w:sz w:val="20"/>
          <w:szCs w:val="20"/>
          <w:color w:val="auto"/>
        </w:rPr>
      </w:pPr>
    </w:p>
    <w:p>
      <w:pPr>
        <w:ind w:left="120" w:right="320" w:firstLine="440"/>
        <w:spacing w:after="0" w:line="282" w:lineRule="auto"/>
        <w:rPr>
          <w:sz w:val="20"/>
          <w:szCs w:val="20"/>
          <w:color w:val="auto"/>
        </w:rPr>
      </w:pPr>
      <w:r>
        <w:rPr>
          <w:rFonts w:ascii="Arial" w:cs="Arial" w:eastAsia="Arial" w:hAnsi="Arial"/>
          <w:sz w:val="18"/>
          <w:szCs w:val="18"/>
          <w:b w:val="1"/>
          <w:bCs w:val="1"/>
          <w:color w:val="auto"/>
        </w:rPr>
        <w:t>U.S. Holders are encouraged to consult their own tax advisers concerning the U.S. federal, state, local and foreign tax consequences of acquiring, owning and disposing of the ADSs in their particular circumstances.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Subject to the passive foreign investment company (“PFIC”) rules described below, distributions paid on the ADSs, other than certain pro rata distributions of the ADSs, will generally be treated as dividends to the extent paid out of our current or accumulated earnings and profits (as determined under U.S. federal income tax principles). We do not maintain calculations of our earnings and profits under U.S. federal income tax principles, and so we expect that distributions generally will be reported to U.S. Holders as dividends. Subject to applicable limitations, dividends paid by a “qualified foreign corporation” are eligible for taxation at a preferential capital gains rate rather than the marginal tax rates generally applicable to ordinary income provided that certain requirements are met. However, if we are a PFIC (or treated as a PFIC with respect to the U.S. Holder) for the taxable year in which the dividend is paid or the preceding taxable year (see discussion below under “Passive Foreign Investment Company Rules”), we will not be treated as a qualified foreign corporation, and therefore the preferential capital gains tax rate described above will not apply. Each U.S. Holder is advised to consult its tax advisors regarding the availability of the preferential tax rate on dividends with regard to its particular circumstances.</w:t>
      </w:r>
    </w:p>
    <w:p>
      <w:pPr>
        <w:spacing w:after="0" w:line="16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non-U.S. corporation (other than a corporation classified as a PFIC for the taxable year in which the dividend is paid or the preceding taxable year) generally will be considered to be a qualified foreign corporation if: (i) if it is eligible for the benefits of a comprehensive tax treaty with the United States, which the Secretary of Treasury of the United States determines is satisfactory for purposes of this provision, and which includes an exchange of information provision; or (ii) with respect to any dividend it pays on shares that are readily tradable on an established securities market in the United States. We believe that we qualify as a resident of France for the purposes of, and are eligible for the benefits of, the income tax treaty between France and the United States, which the IRS has determined is satisfactory for purposes of the qualified dividend rules, and that it includes an exchange of information provision, although there can be no assurance in this regard. Further, our ADSs will generally be considered to be readily tradable on an established securities marked in the United States if they are listed on the Nasdaq Global Market, which we anticipate the ADSs will be. Therefore, subject to the discussion below under “Passive Foreign Investment Company Rules,” if the income tax treaty between France and the United States is applicable, or if the ADSs are readily tradable on an established securities market in the United States, dividends paid on the ADSs will generally be “qualified dividend income” in the hands of individual U.S. Holders, provided that certain conditions are met, including conditions relating to the holding period and the absence of certain risk reduction transactions.</w:t>
      </w:r>
    </w:p>
    <w:p>
      <w:pPr>
        <w:spacing w:after="0" w:line="179"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A U.S. Holder must include the gross amount of a dividend without reduction for amounts withheld by us in respect of French income taxes (see “Material United States Federal Income and French Tax Considerations—Certain French Considerations”), even though the U.S. Holder did not in fact receive the amount associated with the withheld French tax. The amount of the dividend will be treated as foreign-source dividend income to U.S.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Holders and will not be eligible for the dividends-received deduction generally available to U.S. corporations under the Code. Dividends will generally be included in a U.S. Holder’s income on the date of the U.S. Holder’s receipt (or deemed receipt) of the dividend. The amount of any distribution of property other than cash (and excluding certain pro rata distributions of ordinary shares or ADSs or rights to acquire ordinary shares or ADSs) will be the fair market value of such property on the date of the distribution. The amount of any dividend income paid in euros will be the U.S. dollar amount calculated by reference to the exchange rate in effect on the date of actual or constructive receipt, regardless of whether the payment is in fact converted into U.S. dollars. If the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French income taxes withheld from dividends on the ADSs at a rate not exceeding the rate provided by the income tax treaty between France and the United States will generally be creditable against the U.S. Holder’s U.S. federal income tax liability. Dividend distributions with respect to the ADSs generally will be treated as ‘‘passive category’’ income from sources outside the United States for purposes of determining a U.S. Holder’s U.S. foreign tax credit limitation.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French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ADSs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U.S. Holder will generally recognize gain or loss for U.S. federal income tax purposes upon the sale, exchange or other taxable disposition of the ADSs in an amount equal to the difference between the U.S. dollar value of the amount realized from such sale or exchange and the U.S. Holder’s tax basis for those ADSs. Subject to the PFIC rules described below, this gain or loss will generally be a capital gain or loss. The adjusted tax basis in an ADS generally will be equal to the cost of such ADS. Capital gain from the sale, exchange or other taxable disposition of ADSs of a non-corporate U.S. Holder is generally eligible for a preferential rate of taxation applicable to capital gains, if the non-corporate U.S. Holder’s holding period determined at the time of such sale, exchange or other taxable disposition for such ADSs exceeds one year (</w:t>
      </w:r>
      <w:r>
        <w:rPr>
          <w:rFonts w:ascii="Arial" w:cs="Arial" w:eastAsia="Arial" w:hAnsi="Arial"/>
          <w:sz w:val="16"/>
          <w:szCs w:val="16"/>
          <w:i w:val="1"/>
          <w:iCs w:val="1"/>
          <w:color w:val="auto"/>
        </w:rPr>
        <w:t>i.e.,</w:t>
      </w:r>
      <w:r>
        <w:rPr>
          <w:rFonts w:ascii="Arial" w:cs="Arial" w:eastAsia="Arial" w:hAnsi="Arial"/>
          <w:sz w:val="16"/>
          <w:szCs w:val="16"/>
          <w:color w:val="auto"/>
        </w:rPr>
        <w:t xml:space="preserve"> such gain is long-term taxable gain).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ADSs that are traded on an established securities market, provided the election is applied consistently from year to year. Such election may not be changed without the consent of the IRS. For an accrual basis taxpayer who does not make such an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(“income test”) or (ii) 50% or more of the average quarterly value of our assets (generally determined on the basis of a weighted quarterly average) consist of assets that produce, or are held for the production of, “passive income.” Passive income generally includes dividends, interest, and gains from the sale or exchange of investment property and rents or royalties other than rents or royalties which are received from unrelated parties in connection with the active conduct of a trade or business. Passive assets include, among others, cash and assets readily convertible into cash, while our goodwill and other unbooked intangibles associated with active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activities may generally be treated as non-passive assets. In addition, for purposes of the above calculations, a non-U.S. corporation that owns, directly or indirectly, at least 25% by value of the equity interests of another corporation is treated as if it held its proportionate share of the assets of the other corporation, and received directly its proportionate share of the income of the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6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Based on our analysis of our financial statements, activities and relevant market and shareholder data, we do not believe that we were a PFIC for the taxable year ended December 31, 2022. Whether we are a PFIC for any taxable year will depend on the composition of our income and the composition, nature and value of our assets from time to time (including the value or our goodwill, which may be determined by reference to the value of our ADSs, which could fluctuate considerably). We currently do not generate product revenues and therefore we may be a PFIC for any taxable year in which we do not generate sufficient amounts of non-passive income to offset our passive financing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 If we are a PFIC for any year during which a U.S. Holder holds the ADSs, unless certain elections have been made by the U.S. Holder, we generally will continue to be treated as a PFIC with respect to such U.S. Holder for all succeeding years during which the U.S. Holder holds the ADSs, even if we cease to meet the threshold requirements for PFIC status.</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are a PFIC for any taxable year during which a U.S. Holder holds the ADSs, the U.S. Holder may be subject to adverse tax consequences, regardless of whether we remain a PFIC. Generally, gain recognized upon a disposition (including, under certain circumstances, a pledge) of the ADSs by the U.S. Holder would be allocated ratably over the U.S. Holder’s holding period for such ADSs. The amounts allocated to the taxable year of disposition and to years before we became a PFIC (“pre-PFIC Years”) would be taxed as ordinary income. The amount allocated to each other taxable years would be subject to tax at the highest rate in effect for that taxable year for individuals or corporations, as appropriate, and would be subject to an interest charge on the resulting tax deemed deferred with respect to each such other taxable year. Further, to the extent that any distribution received by a U.S. Holder on its ADSs exceeds 125% of the average of the annual distributions on such ADSs received by the U.S. Holder during the (i) preceding three years or (ii) the U.S. Holder’s holding period, whichever is shorter, that distribution would be subject to taxation in the same manner described immediately above with respect to gain on disposition.</w:t>
      </w:r>
    </w:p>
    <w:p>
      <w:pPr>
        <w:spacing w:after="0" w:line="18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Alternatively, if we are a PFIC and if the ADSs are “regularly traded” on a “qualified exchange,” a U.S. Holder could make a mark-to-market election that would result in tax treatment different from the general tax treatment described in the preceding paragraph. The ADSs would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are traded on a qualified exchange, including the Nasdaq Global Market, on at least 15 days during each calendar quarter. The ADSs are listed on the Nasdaq Global Market, and we expect, although no assurance can be given, that they will be regularly traded on the Nasdaq Global Market. U.S. Holders should consult with their own tax advisors regarding potential availability of the mark-to-market election.</w:t>
      </w:r>
    </w:p>
    <w:p>
      <w:pPr>
        <w:spacing w:after="0" w:line="1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 of ADSs in a year when we are a PFIC will be treated as ordinary income and any loss will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treated as an ordinary loss (but only to the extent of the net amount of income previously included as a result of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timely election to treat a PFIC as a qualified electing fund under Section 1295 of the Code (“QEF Election”) would result in alternative treatment. If a U.S. Holder makes a QEF Election for the first tax year of such U.S. Holder’s holding period in which we are classified as a PFIC, then such U.S. Holder generally would not be subject to the PFIC rules described above. Instead, a U.S. Holder that makes a timely and effective QEF Election will currently include in gross income such U.S. Holder’s (a) pro rata share of our ordinary earnings as ordinary income and (b) pro rata share of our net capital gain as long-term capital gain, regardless of whether we have made any distributions of such earnings or gain. The U.S. Holder’s basis in its ADSs would be increased to reflect the amount of such income inclusions. Generally, for this purpose, “ordinary earnings” are the excess of our (a) “earnings and profits” over (b) net capital gain, and “net capital gain” is the excess of our (a) net long-term capital gain over (b) net short-term capital loss.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U.S. Holder that has made such a timely and effective QEF Election generally may receive a distribution tax-free as a return of capital to the extent that such distribution represents “earnings and profits” that were previously included in income by the U.S. Holder because of such QEF Election and such distribution will reduce such U.S. holder’s adjusted tax basis in our ADSs to reflect the amount allowed as a tax free distribution because of such QEF Election. A U.S. Holder that makes a QEF Election would generally recognize capital gain or loss on the sale, exchange or other taxable disposition of its ADSs</w:t>
      </w:r>
      <w:r>
        <w:rPr>
          <w:rFonts w:ascii="Arial" w:cs="Arial" w:eastAsia="Arial" w:hAnsi="Arial"/>
          <w:sz w:val="18"/>
          <w:szCs w:val="18"/>
          <w:b w:val="1"/>
          <w:bCs w:val="1"/>
          <w:color w:val="auto"/>
        </w:rPr>
        <w:t>.</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However, a U.S. Holder will only be able to make a QEF Election if we provide such U.S. Holder with certain tax information annually, and we may determine not to provide such information. Furthermore, if the IRS determines that we were a PFIC for a year with respect to which we had determined that we were not (or believed we were not) a PFIC, it might be too late for a U.S. Holder to make a timely QEF Election, unless the U.S. Holder qualifies under the applicable Treasury Regulations to make a retroactive (late) election. U.S. Holders should consult their own tax advisors regarding the making of any such QEF Election.</w:t>
      </w:r>
    </w:p>
    <w:p>
      <w:pPr>
        <w:spacing w:after="0" w:line="188"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a U.S. Holder owns ADSs during any year in which we are a PFIC, the holder generally must file an IRS Form 8621, or such other form as is required by the U.S. Treasury Department, generally with the holder’s federal income tax return for that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 Holders should consult their tax advisers regarding whether we are or may become a PFIC and the potential application of the PFIC rules.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Payments of distributions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 regarding their reporting obligations with respect to the ADSs.</w:t>
      </w:r>
    </w:p>
    <w:p>
      <w:pPr>
        <w:spacing w:after="0" w:line="184" w:lineRule="exact"/>
        <w:rPr>
          <w:sz w:val="20"/>
          <w:szCs w:val="20"/>
          <w:color w:val="auto"/>
        </w:rPr>
      </w:pPr>
    </w:p>
    <w:p>
      <w:pPr>
        <w:ind w:left="120" w:right="200" w:firstLine="440"/>
        <w:spacing w:after="0" w:line="347"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the ADSs. You should consult your tax advisor concerning the tax consequences of your particular situation.</w:t>
      </w:r>
    </w:p>
    <w:p>
      <w:pPr>
        <w:spacing w:after="0" w:line="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0880"/>
          </w:cols>
          <w:pgMar w:left="320" w:top="459" w:right="69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Partners LLC are acting as representatives, have severally agreed to purchase, and we have agreed to sell to them, severally, the number of ADSs (including underlying ordinary shares) and ordinary shares indicated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44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ADSs</w:t>
            </w: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9,146,475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7,113,925</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LifeSci Capital LLC</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2,439,060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Bryan Garnier Securities SAS</w:t>
            </w:r>
          </w:p>
        </w:tc>
        <w:tc>
          <w:tcPr>
            <w:tcW w:w="128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1,626,040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18,699,460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1,626,040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closings of the U.S. offering and the European private placement will occur simultaneously. The total number of ordinary shares (including in the form of ADSs) in the U.S. offering and European private placement is subject to reallocation between these offerings, as permitted under applicable laws and regulations. The underwriters may provide their services in this offering through or in conjunction with one or more of their respective affiliates.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ADSs and ordinary shares subject to their acceptance of the ADSs and ordinary shares from us and subject to prior sale. The underwriting agreement provides that the obligations of the several underwriters to pay for and accept delivery of the ADSs and ordinary shares offered by this prospectus are subject to the approval of certain legal matters by their counsel and to certain other conditions. The underwriters are obligated to take and pay for all of the ADSs and ordinary shares offered by this prospectus if any such ADSs and ordinary shares are taken. However, the underwriters are not required to take or pay for the ADSs and/or ordinary shares covered by the underwriters’ over-allotment option described below.</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underwriters initially propose to offer part of the ADSs and ordinary shares directly to the public at the offering price listed on the cover page of this prospectus and part to certain dealers at a price that represents a concession not in excess of $0.4872 per ADS and €0.4614 per ordinary share under the public offering price. After the initial offering of the ADSs and ordinary shares, the offering price and other selling terms may from time to time be varied by the representatives.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3,048,825 additional ADSs and/or ordinary shares at the public offering price listed on the cover page of this prospectus, less underwriting commissions. The underwriters may exercise this option solely for the purpose of covering over-allotments, if any, made in connection with the offering of the ADSs and ordinary shares offered by this prospectus. To the extent the option is exercised, each underwriter will become obligated, subject to certain conditions, to purchase about the same percentage of the additional ADSs and/or ordinary shares as the number listed next to the underwriter’s name in the preceding table bears to the total number of ADSs and/or ordinary shares listed next to the names of all underwriters in the preceding table.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The following table shows the per ADS, per ordinary share and total public offering price, underwriting commissions, and proceeds before expenses to us. These amounts are shown assuming both no exercise and full exercise of the underwriters’ option to purchase up to an additional 3,048,825 ADSs and/or ordinary shares.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Per ADS</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178"/>
              <w:spacing w:after="0"/>
              <w:rPr>
                <w:sz w:val="20"/>
                <w:szCs w:val="20"/>
                <w:color w:val="auto"/>
              </w:rPr>
            </w:pPr>
            <w:r>
              <w:rPr>
                <w:rFonts w:ascii="Arial" w:cs="Arial" w:eastAsia="Arial" w:hAnsi="Arial"/>
                <w:sz w:val="14"/>
                <w:szCs w:val="14"/>
                <w:b w:val="1"/>
                <w:bCs w:val="1"/>
                <w:color w:val="auto"/>
              </w:rPr>
              <w:t>Per Ordinary Share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0"/>
                <w:szCs w:val="10"/>
                <w:b w:val="1"/>
                <w:bCs w:val="1"/>
                <w:color w:val="auto"/>
              </w:rPr>
              <w:t>(1)</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Full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Full</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Full Exercise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Exercise</w:t>
            </w:r>
          </w:p>
        </w:tc>
        <w:tc>
          <w:tcPr>
            <w:tcW w:w="1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11.60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10.9864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10.9864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235,755,869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271,142,239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commissions to be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0.812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0.812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0.7690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0.7690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16,504,228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18,979,874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10.788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10.788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10.2174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10.2174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219,271,640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252,162,364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Assumes an exchange rate of €0.9471 per U.S. dollar, the exchange rate on October 19, 2023, as reported by the European Central Bank.</w:t>
      </w:r>
    </w:p>
    <w:p>
      <w:pPr>
        <w:spacing w:after="0" w:line="23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commissions, are approximately $7.0 million. We have agreed to reimburse the underwriters for expenses relating to clearance of this offering with the Financial Industry Regulatory Authority up to $45,000.</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ADSs and ordinary shares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of the underwriters are expected to make offers and sales both inside and outside the United States through their respective selling agents.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offers or sales in the United States will be conducted by broker-dealers registered with the SEC.</w:t>
      </w: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been approved to list our ADSs on the Nasdaq Global Market under the symbol “ABVX.” Our ordinary shares are listed on Euronext Paris under the symbol “ABVX.”</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and all directors and executive officers and certain of our shareholders have agreed that, without the prior written consent of Morgan Stanley</w:t>
      </w:r>
    </w:p>
    <w:p>
      <w:pPr>
        <w:spacing w:after="0" w:line="46" w:lineRule="exact"/>
        <w:rPr>
          <w:sz w:val="20"/>
          <w:szCs w:val="20"/>
          <w:color w:val="auto"/>
        </w:rPr>
      </w:pPr>
    </w:p>
    <w:p>
      <w:pPr>
        <w:ind w:left="120" w:right="460" w:hanging="4"/>
        <w:spacing w:after="0" w:line="260" w:lineRule="auto"/>
        <w:tabs>
          <w:tab w:leader="none" w:pos="3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 LLC and Leerink Partners LLC on behalf of the underwriters, we and they will not, and will not publicly disclose an intention to, during the period ending 90 days after the date of this prospectus (the “restricted period”):</w:t>
      </w:r>
    </w:p>
    <w:p>
      <w:pPr>
        <w:spacing w:after="0" w:line="90" w:lineRule="exact"/>
        <w:rPr>
          <w:rFonts w:ascii="Arial" w:cs="Arial" w:eastAsia="Arial" w:hAnsi="Arial"/>
          <w:sz w:val="18"/>
          <w:szCs w:val="18"/>
          <w:color w:val="auto"/>
        </w:rPr>
      </w:pPr>
    </w:p>
    <w:p>
      <w:pPr>
        <w:ind w:left="1080" w:right="80" w:hanging="532"/>
        <w:spacing w:after="0" w:line="259" w:lineRule="auto"/>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ADSs, ordinary shares, or any securities convertible into or exercisable or exchangeable for ADSs or ordinary shares (such other securities, including any received upon grant or vesting pursuant to a free share plan, “derivative securities”);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ADSs, ordinary shares or derivative securities; or</w:t>
      </w:r>
    </w:p>
    <w:p>
      <w:pPr>
        <w:spacing w:after="0" w:line="130" w:lineRule="exact"/>
        <w:rPr>
          <w:rFonts w:ascii="Arial" w:cs="Arial" w:eastAsia="Arial" w:hAnsi="Arial"/>
          <w:sz w:val="18"/>
          <w:szCs w:val="18"/>
          <w:color w:val="auto"/>
        </w:rPr>
      </w:pPr>
    </w:p>
    <w:p>
      <w:pPr>
        <w:ind w:left="1080" w:right="220" w:hanging="532"/>
        <w:spacing w:after="0" w:line="263" w:lineRule="auto"/>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enter into any hedging, swap or other arrangement that transfers to another, in whole or in part, any of the economic consequences of ownership of ADSs, ordinary shares or derivative securities, whether any such transaction described above is to be settled by delivery of ADSs, ordinary shares or derivative securities, in cash or otherwise.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we and each such person agrees that, without the prior written consent of Morgan Stanley &amp; Co. LLC and Leerink Partners LLC on behalf of the underwriters, we or such other person will not, during the restricted period, make any demand for, or exercise any right with respect to, the registration of any ADSs, ordinary shares or derivative securities.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us, the restrictions described above do not apply to:</w:t>
      </w:r>
    </w:p>
    <w:p>
      <w:pPr>
        <w:spacing w:after="0" w:line="131"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sale of the ADSs and ordinary shares offered by this prospectus to the underwriters;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issuance of ADSs or ordinary shares upon the exercise of an option or warrant or the conversion of a security outstanding on the date of this prospectus and described herein;</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issuance of ADSs, ordinary shares, share options, free shares or warrants pursuant to existing shareholder authorizations described in this prospectus;</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facilitating of the establishment of a trading plan on behalf of any of our shareholders, officers or directors pursuant to Rule 10b5-1 under the Exchange Act (“10b5-1 trading plan”) for the transfer of ADSs or ordinary shares or of the amendment of an existing 10b5-1 trading plan, provided that (i) such 10b5-1 trading plan does not provide for the transfer of ADSs or ordinary shares during the restricted period and (ii) no public announcement or filing under the Exchange Act or otherwise is required of or voluntarily made by or on behalf of the applicable individual or us regarding the establishment or amendment of such 10b5-1 trading plan;</w:t>
      </w:r>
    </w:p>
    <w:p>
      <w:pPr>
        <w:spacing w:after="0" w:line="81" w:lineRule="exact"/>
        <w:rPr>
          <w:rFonts w:ascii="Arial" w:cs="Arial" w:eastAsia="Arial" w:hAnsi="Arial"/>
          <w:sz w:val="17"/>
          <w:szCs w:val="17"/>
          <w:color w:val="auto"/>
        </w:rPr>
      </w:pPr>
    </w:p>
    <w:p>
      <w:pPr>
        <w:ind w:left="1080" w:right="100" w:hanging="532"/>
        <w:spacing w:after="0" w:line="289"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entry into any agreement providing for the issuance by us of ADSs, ordinary shares or derivative securities in connection with (i) the acquisition by us of the securities, business, technology, property or other assets of another person or entity, or pursuant to an employee benefit plan assumed by us in connection with such acquisition, or (ii) joint ventures, commercial relationships or other strategic transactions, and in each case, the issuance of any such securities pursuant to any such agreement; provided, however, that the aggregate number of ADSs, ordinary shares or derivative securities that we may sell or issue or agree to sell or issue shall not exceed 5% of the total number of ordinary shares (including in the form of ADSs) issued and outstanding immediately following the completion of this offering; and provided, further, that we must cause each recipient of such securities to execute and deliver to the representatives, on or prior to the issuance of such securities, a lock-up agreement substantially in the form attached to the underwriting agreement with respect to the remainder of the restricted period and enter stop transfer instructions with our transfer agent and registrar for such securities; or</w:t>
      </w:r>
    </w:p>
    <w:p>
      <w:pPr>
        <w:spacing w:after="0" w:line="71" w:lineRule="exact"/>
        <w:rPr>
          <w:rFonts w:ascii="Arial" w:cs="Arial" w:eastAsia="Arial" w:hAnsi="Arial"/>
          <w:sz w:val="16"/>
          <w:szCs w:val="16"/>
          <w:color w:val="auto"/>
        </w:rPr>
      </w:pPr>
    </w:p>
    <w:p>
      <w:pPr>
        <w:ind w:left="1080" w:right="560" w:hanging="532"/>
        <w:spacing w:after="0" w:line="342"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issuance of derivative securities under any undrawn tranches of the Kreos / Claret Financing and the Heights Financing and any ordinary shares issuable upon the conversion or exercise of such derivative securities as described in this prospectus.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with respect to our directors and executive officers and certain of our shareholders, the restrictions described above are subject to specified exceptions, including, without limitation and subject in certain cases to various conditions:</w:t>
      </w:r>
    </w:p>
    <w:p>
      <w:pPr>
        <w:spacing w:after="0" w:line="76" w:lineRule="exact"/>
        <w:rPr>
          <w:sz w:val="20"/>
          <w:szCs w:val="20"/>
          <w:color w:val="auto"/>
        </w:rPr>
      </w:pPr>
    </w:p>
    <w:p>
      <w:pPr>
        <w:ind w:left="1080" w:right="40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transactions relating to ADSs, ordinary shares or derivative securities acquired in this offering or in open market transactions after the completion of this offering;</w:t>
      </w:r>
    </w:p>
    <w:p>
      <w:pPr>
        <w:spacing w:after="0" w:line="75" w:lineRule="exact"/>
        <w:rPr>
          <w:rFonts w:ascii="Arial" w:cs="Arial" w:eastAsia="Arial" w:hAnsi="Arial"/>
          <w:sz w:val="18"/>
          <w:szCs w:val="18"/>
          <w:color w:val="auto"/>
        </w:rPr>
      </w:pPr>
    </w:p>
    <w:p>
      <w:pPr>
        <w:ind w:left="1080" w:right="40" w:hanging="532"/>
        <w:spacing w:after="0" w:line="287"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transfers of ADSs, ordinary shares or derivative securities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(ii) to any trust for the direct or indirect benefit of such person; (iii) as a distribution or other transfer by a corporation to its shareholders or former shareholder or to any wholly-owned subsidiary of such corporation; (iv) to such person’s affiliates or to any investment fund or other entity controlled or managed by such person;</w:t>
      </w:r>
    </w:p>
    <w:p>
      <w:pPr>
        <w:spacing w:after="0" w:line="2" w:lineRule="exact"/>
        <w:rPr>
          <w:rFonts w:ascii="Arial" w:cs="Arial" w:eastAsia="Arial" w:hAnsi="Arial"/>
          <w:sz w:val="16"/>
          <w:szCs w:val="16"/>
          <w:color w:val="auto"/>
        </w:rPr>
      </w:pPr>
    </w:p>
    <w:p>
      <w:pPr>
        <w:ind w:left="1080" w:right="400"/>
        <w:spacing w:after="0" w:line="260" w:lineRule="auto"/>
        <w:rPr>
          <w:rFonts w:ascii="Arial" w:cs="Arial" w:eastAsia="Arial" w:hAnsi="Arial"/>
          <w:sz w:val="16"/>
          <w:szCs w:val="16"/>
          <w:color w:val="auto"/>
        </w:rPr>
      </w:pPr>
      <w:r>
        <w:rPr>
          <w:rFonts w:ascii="Arial" w:cs="Arial" w:eastAsia="Arial" w:hAnsi="Arial"/>
          <w:sz w:val="18"/>
          <w:szCs w:val="18"/>
          <w:color w:val="auto"/>
        </w:rPr>
        <w:t>(v) pursuant to a qualified domestic relations order or in connection with a divorce settlement or (vi) by will or intestate succession or intestate distribution upon the death of such person;</w:t>
      </w:r>
    </w:p>
    <w:p>
      <w:pPr>
        <w:spacing w:after="0" w:line="90"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surrender of ordinary shares to the depositary or the depositary’s custodian for the purpose of receiving an equivalent number of ADSs in lieu of such ordinary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transfers of ADSs, ordinary shares or derivative securities to the company in satisfaction of any tax withholding obligation;</w:t>
      </w:r>
    </w:p>
    <w:p>
      <w:pPr>
        <w:spacing w:after="0" w:line="130" w:lineRule="exact"/>
        <w:rPr>
          <w:rFonts w:ascii="Arial" w:cs="Arial" w:eastAsia="Arial" w:hAnsi="Arial"/>
          <w:sz w:val="18"/>
          <w:szCs w:val="18"/>
          <w:color w:val="auto"/>
        </w:rPr>
      </w:pPr>
    </w:p>
    <w:p>
      <w:pPr>
        <w:ind w:left="1080" w:right="180" w:hanging="532"/>
        <w:spacing w:after="0" w:line="286"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transfers or sales of up to 1,000,000 ADSs or ordinary shares (in the aggregate for all of our directors, officers and affiliates) used for the primary purpose of satisfying any withholding tax or other governmental withholding or payment obligations pursuant to equity awards granted under a share incentive plan or other equity award plan that is described in this prospectus;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40" w:hanging="532"/>
        <w:spacing w:after="0" w:line="311"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transfers of ADSs, ordinary shares or derivative securities to us pursuant to any contractual arrangement that provides for the repurchase of the ADSs, ordinary shares or derivative securities held by such person in connection with the termination of such person’s services to us or such person’s failure to meet certain conditions set out upon receipt of such ADSs, ordinary shares or derivative securities;</w:t>
      </w:r>
    </w:p>
    <w:p>
      <w:pPr>
        <w:spacing w:after="0" w:line="54" w:lineRule="exact"/>
        <w:rPr>
          <w:rFonts w:ascii="Arial" w:cs="Arial" w:eastAsia="Arial" w:hAnsi="Arial"/>
          <w:sz w:val="16"/>
          <w:szCs w:val="16"/>
          <w:color w:val="auto"/>
        </w:rPr>
      </w:pPr>
    </w:p>
    <w:p>
      <w:pPr>
        <w:jc w:val="both"/>
        <w:ind w:left="1080" w:right="240" w:hanging="532"/>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exercise or exchange by such person of any option or warrant to acquire any ADSs or ordinary shares or option to purchase ADSs or ordinary shares, in each case for cash or on a “cashless” or “net exercise” basis, pursuant to any share option, share bonus or other share plan or arrangement;</w:t>
      </w:r>
    </w:p>
    <w:p>
      <w:pPr>
        <w:spacing w:after="0" w:line="89" w:lineRule="exact"/>
        <w:rPr>
          <w:rFonts w:ascii="Arial" w:cs="Arial" w:eastAsia="Arial" w:hAnsi="Arial"/>
          <w:sz w:val="18"/>
          <w:szCs w:val="18"/>
          <w:color w:val="auto"/>
        </w:rPr>
      </w:pPr>
    </w:p>
    <w:p>
      <w:pPr>
        <w:ind w:left="1080" w:right="400" w:hanging="532"/>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transfer of ADSs, ordinary shares or derivative securities upon the completion of a bona fide third-party tender offer, merger, consolidation or other similar transaction that is approved by our Board, made to all holders of our securities and involves a change of control of us;</w:t>
      </w:r>
    </w:p>
    <w:p>
      <w:pPr>
        <w:spacing w:after="0" w:line="89"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establishment of a 10b5-1 trading plan for the transfer of ADSs or ordinary shares or the amendment of an existing 10b5-1 trading plan, provided that such 10b5-1 trading plan does not provide for the transfer of ADSs or ordinary shares during the restricted period; or</w:t>
      </w:r>
    </w:p>
    <w:p>
      <w:pPr>
        <w:spacing w:after="0" w:line="29"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sales by one of our shareholders of up to 265,000 ordinary shares in the aggregate pursuant to certain regulatory obligations imposed by the AMF.</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Morgan Stanley &amp; Co. LLC and Leerink Partners LLC, in their sole discretion, may release the ADSs, ordinary shares and derivative securities subject to the lock-up agreements described above in whole or in part at any time.</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order to facilitate the offering of the ADSs and ordinary shares, the underwriters may engage in transactions that stabilize, maintain or otherwise affect the price of the ADSs and/or ordinary shares. Specifically, the underwriters may sell more ADSs and ordinary shares than they are obligated to purchase under the underwriting agreement, creating a short position. A short sale is covered if the short position is no greater than the number of ADSs and ordinary shares available for purchase by the underwriters under the over-allotment option. The underwriters can close out a covered short sale by exercising the over-allotment option or purchasing ADSs and/or ordinary shares in the open market. In determining the source of ADSs and/or ordinary shares to close out a covered short sale, the underwriters will consider, among other things, the open market price of ADSs and/or ordinary shares compared to the price available under the over-allotment option. The underwriters may also sell ADSs and ordinary shares in excess of the over-allotment option, creating a naked short position. The underwriters must close out any naked short position by purchasing ADSs and/or ordinary shares in the open market. A naked short position is more likely to be created if the underwriters are concerned that there may be downward pressure on the price of the ADSs and/or ordinary shares in the open market after pricing that could adversely affect investors who purchase in this offering. As an additional means of facilitating this offering, the underwriters may bid for, and purchase, ADSs and ordinary shares in the open market to stabilize the price of the ADSs and ordinary shares. These activities may raise or maintain the market price of the ADSs and ordinary shares above independent market levels or prevent or retard a decline in the market price of the ADSs and ordinary shares. The underwriters are not required to engage in these activities and may end any of these activities at any time.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and/or ordinary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While our ordinary shares are traded on Euronext Paris, prior to this offering, there has been no public market for our ADSs or ordinary shares in the United States. The offering price for our ADSs in U.S. dollars and the corresponding offering price for our ordinary shares in euros was determined through negotiations between us and the representatives, and by reference to the prevailing market prices of our ordinary shares on Euronext Paris after taking into account market conditions and other factors.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080"/>
          </w:cols>
          <w:pgMar w:left="320" w:top="459" w:right="49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the securities may be made to the public in that Relevant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securities shall require us or any of our representatives to publish a prospectus pursuant to Article 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Regulation or supplement a prospectus pursuant to Article 23 of the Prospectus Regulation.</w:t>
      </w:r>
    </w:p>
    <w:p>
      <w:pPr>
        <w:spacing w:after="0" w:line="170"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any securities, and the expression “Prospectus Regulation” means Regulation (EU) 2017/1129, as amended.</w:t>
      </w:r>
    </w:p>
    <w:p>
      <w:pPr>
        <w:spacing w:after="0" w:line="14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Each person in a Relevant State who receives any communication in respect of, or who acquires any securities under, the offering contemplated hereby will be deemed to have represented, warranted and agreed to and with each of the underwriters and their affiliates and to us that:</w:t>
      </w:r>
    </w:p>
    <w:p>
      <w:pPr>
        <w:spacing w:after="0" w:line="16" w:lineRule="exact"/>
        <w:rPr>
          <w:sz w:val="20"/>
          <w:szCs w:val="20"/>
          <w:color w:val="auto"/>
        </w:rPr>
      </w:pPr>
    </w:p>
    <w:p>
      <w:pPr>
        <w:ind w:left="800" w:hanging="244"/>
        <w:spacing w:after="0"/>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225" w:lineRule="exact"/>
        <w:rPr>
          <w:rFonts w:ascii="Arial" w:cs="Arial" w:eastAsia="Arial" w:hAnsi="Arial"/>
          <w:sz w:val="18"/>
          <w:szCs w:val="18"/>
          <w:color w:val="auto"/>
        </w:rPr>
      </w:pPr>
    </w:p>
    <w:p>
      <w:pPr>
        <w:ind w:left="120" w:right="20" w:firstLine="436"/>
        <w:spacing w:after="0" w:line="293" w:lineRule="auto"/>
        <w:tabs>
          <w:tab w:leader="none" w:pos="81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securities have been acquired by it on behalf of persons in any Relevant State other than qualified investors, the offer of those securities to it is not treated under the Prospectus Regulation as having been made to such persons.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securities in the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appropriate distribution channels. For the avoidance of doubt, even if the target market includes retail clients, it has been decided that the ordinary shares will only be offered to persons who meet the criteria of eligible counterparties and professional clients.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MiFIR Product Governance</w:t>
      </w:r>
    </w:p>
    <w:p>
      <w:pPr>
        <w:spacing w:after="0" w:line="117"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retail clients, as defined in point (8) of article 2 of Regulation (EU) No. 2017/565 as it forms part of domestic law by virtue of the European Union (Withdrawal) Act 2018 (“EUWA”), and eligible counterparties, as defined in the Financial Conduct Authority (“FCA”) Handbook Conduct of Business Sourcebook (“COBS”) and professional clients, as defined in Regulation (EU) No 600/2014 as it forms part of domestic law by virtue of the EUWA (“UK MiFIR”); and (ii) all channels for distribution of the securities are appropriate. Any person subsequently offering, selling or recommending the securities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For the avoidance of doubt, even if the target market includes retail clients, it has been decided that the securities will only be offered to persons who meet the criteria of eligible counterparties and professional clients.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This prospectus and any other material in relation to the securities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securities are only available in the UK to, and any invitation, offer or agreement to purchase or otherwise acquire the securities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securities have been offered or will be offered pursuant to the offering to the public in the UK prior to the publication of a prospectus in relation to the securities which has been approved by the Financial Conduct Authority in the UK in accordance with the UK Prospectus Regulation and the FSMA, except that offers of the securities may be made to the public in the UK at any time:</w:t>
      </w:r>
    </w:p>
    <w:p>
      <w:pPr>
        <w:spacing w:after="0" w:line="89"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provided that no such offer of securities shall require us or any of our representatives to publish a prospectus pursuant to Section 85 of the FSMA or supplement a prospectus pursuant to Article 23 of the UK Prospectus Regulation.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UK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Each person in the UK who acquires any securities in the offer or to whom any offer is made will be deemed to have represented, acknowledged and agreed to and with us, the underwriters and their affiliates that it meets the criteria outlined in this section.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securities have not been and will not be offered or sold to the public in the Republic of France, and no offering of this prospectus or any marketing materials relating to securities may be made available or distributed in any way that would constitute, directly or indirectly, an offer to the public in the Republic of France (except for public offerings defined in Article L.411-2 1° of the French Monetary and Financial Code).</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securities may only be offered or sold in France pursuant to article L. 411-2 1° of the French Monetary and Financial Code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(as such term is defined in Article 2(e) of the Prospectus Regulation) acting for their own account, and in accordance with articles L. 411-1, L. 411-2 and D. 411-2 to D.411-4 of the French Monetary and Financial Code.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Prospective investors are informed that:</w:t>
      </w:r>
    </w:p>
    <w:p>
      <w:pPr>
        <w:spacing w:after="0" w:line="131" w:lineRule="exact"/>
        <w:rPr>
          <w:sz w:val="20"/>
          <w:szCs w:val="20"/>
          <w:color w:val="auto"/>
        </w:rPr>
      </w:pPr>
    </w:p>
    <w:p>
      <w:pPr>
        <w:ind w:left="1080" w:right="5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neither this prospectus nor any other offering materials relating to the securities described in this prospectus has been submitted for clearance to the French financial markets authority (</w:t>
      </w:r>
      <w:r>
        <w:rPr>
          <w:rFonts w:ascii="Arial" w:cs="Arial" w:eastAsia="Arial" w:hAnsi="Arial"/>
          <w:sz w:val="18"/>
          <w:szCs w:val="18"/>
          <w:i w:val="1"/>
          <w:iCs w:val="1"/>
          <w:color w:val="auto"/>
        </w:rPr>
        <w:t>Autorité des marchés financiers);</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neither this prospectus, nor any offering material relating to the securities has been or will be released, issued, distributed or caused to be released, issued or distributed to the public in France or used in connection with any offer for subscription or sale of the securities to the public in France within the meaning of article L. 411-1 of the French Monetary and Financial Code (other than public offerings defined in Article L.411-2 1° of the French Monetary and Financial Code);</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individuals or entities referred to in article L. 411-2 1° of the French Monetary and Financial Code may participate in the offering, as provided under articles D.411-4 of the French Monetary and Financial Code;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direct and indirect distribution or sale to the public of the securities acquired by them may only be made in compliance with articles L. 411-1, L. 411-2 1°, L. 412-1 and L. 621-8 to L. 621-8-2 of the French Monetary and Financial Code.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securities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our securities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securities hereunder is directed only at, (i) a limited number of persons in accordance with the Israeli Securities Law and (ii) investors listed in the first addendum to the Israeli Securities Law, or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securities.</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Accordingly, the securities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Qualified Institutional Investors, or QII</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securities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securities. The securities may only be transferred to QIIs.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Non-QII Investors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securities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securities. The securities may only be transferred en bloc without subdivision to a single investor.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Where the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6" w:lineRule="exact"/>
        <w:rPr>
          <w:sz w:val="20"/>
          <w:szCs w:val="20"/>
          <w:color w:val="auto"/>
        </w:rPr>
      </w:pPr>
    </w:p>
    <w:p>
      <w:pPr>
        <w:ind w:left="120" w:right="360" w:firstLine="436"/>
        <w:spacing w:after="0" w:line="263" w:lineRule="auto"/>
        <w:tabs>
          <w:tab w:leader="none" w:pos="77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Section 276(7) of the SFA; or (v) 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This prospectus is not intended to constitute an offer or solicitation to purchase or invest in our securities. Our securities may not be publicly offered, directly or indirectly, in Switzerland within the meaning of the Swiss Financial Services Act, or the FinSA, and no application has or will be made to admit our securities to trading on any trading venue (exchange or multilateral trading facility) in Switzerland. Neither this prospectus nor any other offering or marketing material relating to our securities constitutes a prospectus pursuant to the FinSA, and neither this prospectus nor any other offering or marketing material relating to our securities may be publicly distributed or otherwise made publicly available in Switzerland.</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0980"/>
          </w:cols>
          <w:pgMar w:left="320" w:top="459" w:right="59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EXPENSES RELATING TO THE GLOBAL OFFERING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commissions, payable in connection with the sale of ordinary shares (which may be in the form of ADSs) in the global offering. All amounts are estimated except the SEC registration fee, the Nasdaq initial listing fee and the FINRA filing fee. Except as otherwise noted, all the expenses below will be paid by us. Some figures have been rounded. Accordingly, the totals in the table may not be the exact sums of component items.</w:t>
      </w:r>
    </w:p>
    <w:p>
      <w:pPr>
        <w:sectPr>
          <w:pgSz w:w="11900" w:h="16838" w:orient="portrait"/>
          <w:cols w:equalWidth="0" w:num="1">
            <w:col w:w="11100"/>
          </w:cols>
          <w:pgMar w:left="320" w:top="459" w:right="479" w:bottom="1440" w:gutter="0" w:footer="0" w:header="0"/>
        </w:sect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initial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jc w:val="right"/>
        <w:ind w:right="3653"/>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47"/>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427" w:hanging="427"/>
        <w:spacing w:after="0"/>
        <w:tabs>
          <w:tab w:leader="none" w:pos="42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40,021</w:t>
      </w:r>
    </w:p>
    <w:p>
      <w:pPr>
        <w:spacing w:after="0" w:line="30" w:lineRule="exact"/>
        <w:rPr>
          <w:rFonts w:ascii="Arial" w:cs="Arial" w:eastAsia="Arial" w:hAnsi="Arial"/>
          <w:sz w:val="16"/>
          <w:szCs w:val="16"/>
          <w:color w:val="auto"/>
        </w:rPr>
      </w:pPr>
    </w:p>
    <w:p>
      <w:pPr>
        <w:ind w:left="427"/>
        <w:spacing w:after="0"/>
        <w:rPr>
          <w:rFonts w:ascii="Arial" w:cs="Arial" w:eastAsia="Arial" w:hAnsi="Arial"/>
          <w:sz w:val="16"/>
          <w:szCs w:val="16"/>
          <w:color w:val="auto"/>
        </w:rPr>
      </w:pPr>
      <w:r>
        <w:rPr>
          <w:rFonts w:ascii="Arial" w:cs="Arial" w:eastAsia="Arial" w:hAnsi="Arial"/>
          <w:sz w:val="16"/>
          <w:szCs w:val="16"/>
          <w:color w:val="auto"/>
        </w:rPr>
        <w:t>41,171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4,209,266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1,816,605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11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  7,029,107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5911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ectPr>
          <w:pgSz w:w="11900" w:h="16838" w:orient="portrait"/>
          <w:cols w:equalWidth="0" w:num="2">
            <w:col w:w="9413" w:space="720"/>
            <w:col w:w="967"/>
          </w:cols>
          <w:pgMar w:left="320" w:top="459" w:right="47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validity of our ordinary shares (which may be in the form of ADSs) and certain other matters of French law will be passed upon for us by Dechert (Paris) LLP. Certain matters of U.S. federal and New York state law will be passed upon for us by Cooley LLP, New York, New York. Latham</w:t>
      </w:r>
    </w:p>
    <w:p>
      <w:pPr>
        <w:ind w:left="120" w:right="240" w:hanging="4"/>
        <w:spacing w:after="0" w:line="260" w:lineRule="auto"/>
        <w:tabs>
          <w:tab w:leader="none" w:pos="3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Watkins LLP, New York, New York, with respect to U.S. federal law, and Gide Loyrette Nouel A.A.R.P.I., with respect to French law, are acting as counsel for the underwriters in connection with the global offering.</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financial statements as of December 31, 2021 and December 31, 2022 and for each of the two years in the period ended December 31, 2022 included in this prospectus have been so included in reliance on the report of PricewaterhouseCoopers Audit, an independent registered public accounting firm, given on the authority of said firm as experts in auditing and accounting.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offices of PricewaterhouseCoopers Audit are located at 63, rue de Villiers, 92200 Neuilly-sur-Seine, France.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filed with the Securities and Exchange Commission a registration statement (including amendments and exhibits to the registration statement) on Form F-1 under the Securities Act. A related registration statement on Form F-6 will be filed with the Securities and Exchange Commission to register the ADSs.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The SEC maintains a website that contains reports and other information about issuers, like us, that file electronically with the SEC. The address of that website is www.sec.gov.</w:t>
      </w:r>
    </w:p>
    <w:p>
      <w:pPr>
        <w:spacing w:after="0" w:line="187"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maintain a corporate website at www.abivax.com. The reference to our website is an inactive textual reference only and information contained in, or that can be accessed through, our website or any other website cited in this prospectus is not part of this prospectus.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080"/>
          </w:cols>
          <w:pgMar w:left="320" w:top="459" w:right="49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0000EE"/>
              </w:rPr>
              <w:t>Table of Contents</w:t>
            </w:r>
          </w:p>
        </w:tc>
        <w:tc>
          <w:tcPr>
            <w:tcW w:w="6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7920" w:type="dxa"/>
            <w:vAlign w:val="bottom"/>
            <w:gridSpan w:val="13"/>
          </w:tcPr>
          <w:p>
            <w:pPr>
              <w:jc w:val="center"/>
              <w:ind w:right="1740"/>
              <w:spacing w:after="0"/>
              <w:rPr>
                <w:sz w:val="20"/>
                <w:szCs w:val="20"/>
                <w:color w:val="auto"/>
              </w:rPr>
            </w:pPr>
            <w:r>
              <w:rPr>
                <w:rFonts w:ascii="Arial" w:cs="Arial" w:eastAsia="Arial" w:hAnsi="Arial"/>
                <w:sz w:val="18"/>
                <w:szCs w:val="18"/>
                <w:b w:val="1"/>
                <w:bCs w:val="1"/>
                <w:color w:val="auto"/>
              </w:rPr>
              <w:t>INDEX TO THE FINANCIAL STATEMENTS</w:t>
            </w:r>
          </w:p>
        </w:tc>
        <w:tc>
          <w:tcPr>
            <w:tcW w:w="62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10340" w:type="dxa"/>
            <w:vAlign w:val="bottom"/>
            <w:gridSpan w:val="15"/>
          </w:tcPr>
          <w:p>
            <w:pPr>
              <w:spacing w:after="0"/>
              <w:rPr>
                <w:sz w:val="20"/>
                <w:szCs w:val="20"/>
                <w:color w:val="auto"/>
              </w:rPr>
            </w:pPr>
            <w:r>
              <w:rPr>
                <w:rFonts w:ascii="Arial" w:cs="Arial" w:eastAsia="Arial" w:hAnsi="Arial"/>
                <w:sz w:val="18"/>
                <w:szCs w:val="18"/>
                <w:color w:val="auto"/>
              </w:rPr>
              <w:t>Financial Statements as of and for the Years Ended December 31, 2021 and 2022</w:t>
            </w:r>
          </w:p>
        </w:tc>
        <w:tc>
          <w:tcPr>
            <w:tcW w:w="62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6120" w:type="dxa"/>
            <w:vAlign w:val="bottom"/>
            <w:gridSpan w:val="12"/>
          </w:tcPr>
          <w:p>
            <w:pPr>
              <w:spacing w:after="0"/>
              <w:rPr>
                <w:sz w:val="16"/>
                <w:szCs w:val="16"/>
                <w:color w:val="auto"/>
              </w:rPr>
            </w:pP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10340" w:type="dxa"/>
            <w:vAlign w:val="bottom"/>
            <w:gridSpan w:val="15"/>
          </w:tcPr>
          <w:p>
            <w:pPr>
              <w:spacing w:after="0" w:line="196" w:lineRule="exact"/>
              <w:rPr>
                <w:sz w:val="20"/>
                <w:szCs w:val="20"/>
                <w:color w:val="auto"/>
              </w:rPr>
            </w:pPr>
            <w:r>
              <w:rPr>
                <w:rFonts w:ascii="Arial" w:cs="Arial" w:eastAsia="Arial" w:hAnsi="Arial"/>
                <w:sz w:val="18"/>
                <w:szCs w:val="18"/>
                <w:color w:val="0000EE"/>
              </w:rPr>
              <w:t>Statements of Financial Position as of December 31, 2021 and 2022</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Statements of Income (Loss) for the Years Ended December 31, 2021 and 2022</w:t>
            </w:r>
          </w:p>
        </w:tc>
        <w:tc>
          <w:tcPr>
            <w:tcW w:w="458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20" w:type="dxa"/>
            <w:vAlign w:val="bottom"/>
          </w:tcPr>
          <w:p>
            <w:pPr>
              <w:spacing w:after="0"/>
              <w:rPr>
                <w:sz w:val="17"/>
                <w:szCs w:val="17"/>
                <w:color w:val="auto"/>
              </w:rPr>
            </w:pPr>
          </w:p>
        </w:tc>
        <w:tc>
          <w:tcPr>
            <w:tcW w:w="10340" w:type="dxa"/>
            <w:vAlign w:val="bottom"/>
            <w:gridSpan w:val="15"/>
          </w:tcPr>
          <w:p>
            <w:pPr>
              <w:spacing w:after="0" w:line="196" w:lineRule="exact"/>
              <w:rPr>
                <w:sz w:val="20"/>
                <w:szCs w:val="20"/>
                <w:color w:val="auto"/>
              </w:rPr>
            </w:pPr>
            <w:r>
              <w:rPr>
                <w:rFonts w:ascii="Arial" w:cs="Arial" w:eastAsia="Arial" w:hAnsi="Arial"/>
                <w:sz w:val="18"/>
                <w:szCs w:val="18"/>
                <w:color w:val="0000EE"/>
              </w:rPr>
              <w:t>Statements of Comprehensive Income (Loss) for the Years Ended December 31, 2021 and 2022</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Statements of Changes in Shareholders’ Equity for the Years Ended December 31, 2021 and 2022</w:t>
            </w:r>
          </w:p>
        </w:tc>
        <w:tc>
          <w:tcPr>
            <w:tcW w:w="330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20" w:type="dxa"/>
            <w:vAlign w:val="bottom"/>
          </w:tcPr>
          <w:p>
            <w:pPr>
              <w:spacing w:after="0"/>
              <w:rPr>
                <w:sz w:val="17"/>
                <w:szCs w:val="17"/>
                <w:color w:val="auto"/>
              </w:rPr>
            </w:pPr>
          </w:p>
        </w:tc>
        <w:tc>
          <w:tcPr>
            <w:tcW w:w="55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Statements of Cash Flows for the Years Ended December 31, 2021 and 2022</w:t>
            </w:r>
          </w:p>
        </w:tc>
        <w:tc>
          <w:tcPr>
            <w:tcW w:w="478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2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Notes to the Financial Statements</w:t>
            </w:r>
          </w:p>
        </w:tc>
        <w:tc>
          <w:tcPr>
            <w:tcW w:w="792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438"/>
        </w:trPr>
        <w:tc>
          <w:tcPr>
            <w:tcW w:w="120" w:type="dxa"/>
            <w:vAlign w:val="bottom"/>
          </w:tcPr>
          <w:p>
            <w:pPr>
              <w:spacing w:after="0"/>
              <w:rPr>
                <w:sz w:val="24"/>
                <w:szCs w:val="24"/>
                <w:color w:val="auto"/>
              </w:rPr>
            </w:pPr>
          </w:p>
        </w:tc>
        <w:tc>
          <w:tcPr>
            <w:tcW w:w="10340" w:type="dxa"/>
            <w:vAlign w:val="bottom"/>
            <w:gridSpan w:val="15"/>
          </w:tcPr>
          <w:p>
            <w:pPr>
              <w:spacing w:after="0"/>
              <w:rPr>
                <w:sz w:val="20"/>
                <w:szCs w:val="20"/>
                <w:color w:val="auto"/>
              </w:rPr>
            </w:pPr>
            <w:r>
              <w:rPr>
                <w:rFonts w:ascii="Arial" w:cs="Arial" w:eastAsia="Arial" w:hAnsi="Arial"/>
                <w:sz w:val="18"/>
                <w:szCs w:val="18"/>
                <w:color w:val="auto"/>
              </w:rPr>
              <w:t>Financial Statements as of and for the Six-Month Periods Ended June 30, 2022 and 2023</w:t>
            </w:r>
          </w:p>
        </w:tc>
        <w:tc>
          <w:tcPr>
            <w:tcW w:w="62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10340" w:type="dxa"/>
            <w:vAlign w:val="bottom"/>
            <w:gridSpan w:val="15"/>
          </w:tcPr>
          <w:p>
            <w:pPr>
              <w:spacing w:after="0" w:line="190" w:lineRule="exact"/>
              <w:rPr>
                <w:sz w:val="20"/>
                <w:szCs w:val="20"/>
                <w:color w:val="auto"/>
              </w:rPr>
            </w:pPr>
            <w:r>
              <w:rPr>
                <w:rFonts w:ascii="Arial" w:cs="Arial" w:eastAsia="Arial" w:hAnsi="Arial"/>
                <w:sz w:val="18"/>
                <w:szCs w:val="18"/>
                <w:color w:val="0000EE"/>
              </w:rPr>
              <w:t>Unaudited Interim Condensed Consolidated Statements of Financial Position as of December 31, 2022 and June 30, 2023</w:t>
            </w: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90"/>
        </w:trPr>
        <w:tc>
          <w:tcPr>
            <w:tcW w:w="120" w:type="dxa"/>
            <w:vAlign w:val="bottom"/>
          </w:tcPr>
          <w:p>
            <w:pPr>
              <w:spacing w:after="0"/>
              <w:rPr>
                <w:sz w:val="16"/>
                <w:szCs w:val="16"/>
                <w:color w:val="auto"/>
              </w:rPr>
            </w:pPr>
          </w:p>
        </w:tc>
        <w:tc>
          <w:tcPr>
            <w:tcW w:w="10340" w:type="dxa"/>
            <w:vAlign w:val="bottom"/>
            <w:gridSpan w:val="15"/>
          </w:tcPr>
          <w:p>
            <w:pPr>
              <w:spacing w:after="0" w:line="190" w:lineRule="exact"/>
              <w:rPr>
                <w:sz w:val="20"/>
                <w:szCs w:val="20"/>
                <w:color w:val="auto"/>
              </w:rPr>
            </w:pPr>
            <w:r>
              <w:rPr>
                <w:rFonts w:ascii="Arial" w:cs="Arial" w:eastAsia="Arial" w:hAnsi="Arial"/>
                <w:sz w:val="18"/>
                <w:szCs w:val="18"/>
                <w:color w:val="0000EE"/>
              </w:rPr>
              <w:t>Unaudited Interim Condensed Consolidated Statements of Income (Loss) for the Periods Ended June 30, 2022 and 2023</w:t>
            </w: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0"/>
        </w:trPr>
        <w:tc>
          <w:tcPr>
            <w:tcW w:w="120" w:type="dxa"/>
            <w:vAlign w:val="bottom"/>
          </w:tcPr>
          <w:p>
            <w:pPr>
              <w:spacing w:after="0"/>
              <w:rPr>
                <w:sz w:val="16"/>
                <w:szCs w:val="16"/>
                <w:color w:val="auto"/>
              </w:rPr>
            </w:pPr>
          </w:p>
        </w:tc>
        <w:tc>
          <w:tcPr>
            <w:tcW w:w="10340" w:type="dxa"/>
            <w:vAlign w:val="bottom"/>
            <w:gridSpan w:val="15"/>
          </w:tcPr>
          <w:p>
            <w:pPr>
              <w:spacing w:after="0" w:line="190" w:lineRule="exact"/>
              <w:rPr>
                <w:sz w:val="20"/>
                <w:szCs w:val="20"/>
                <w:color w:val="auto"/>
              </w:rPr>
            </w:pPr>
            <w:r>
              <w:rPr>
                <w:rFonts w:ascii="Arial" w:cs="Arial" w:eastAsia="Arial" w:hAnsi="Arial"/>
                <w:sz w:val="18"/>
                <w:szCs w:val="18"/>
                <w:color w:val="0000EE"/>
                <w:w w:val="94"/>
              </w:rPr>
              <w:t>Unaudited Interim Condensed Consolidated Statements of Comprehensive Income (Loss) for the Periods Ended June 30, 2022 and 2023</w:t>
            </w: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90"/>
        </w:trPr>
        <w:tc>
          <w:tcPr>
            <w:tcW w:w="120" w:type="dxa"/>
            <w:vAlign w:val="bottom"/>
          </w:tcPr>
          <w:p>
            <w:pPr>
              <w:spacing w:after="0"/>
              <w:rPr>
                <w:sz w:val="16"/>
                <w:szCs w:val="16"/>
                <w:color w:val="auto"/>
              </w:rPr>
            </w:pPr>
          </w:p>
        </w:tc>
        <w:tc>
          <w:tcPr>
            <w:tcW w:w="10340" w:type="dxa"/>
            <w:vAlign w:val="bottom"/>
            <w:gridSpan w:val="15"/>
          </w:tcPr>
          <w:p>
            <w:pPr>
              <w:spacing w:after="0" w:line="190" w:lineRule="exact"/>
              <w:rPr>
                <w:sz w:val="20"/>
                <w:szCs w:val="20"/>
                <w:color w:val="auto"/>
              </w:rPr>
            </w:pPr>
            <w:r>
              <w:rPr>
                <w:rFonts w:ascii="Arial" w:cs="Arial" w:eastAsia="Arial" w:hAnsi="Arial"/>
                <w:sz w:val="18"/>
                <w:szCs w:val="18"/>
                <w:color w:val="0000EE"/>
                <w:w w:val="92"/>
              </w:rPr>
              <w:t>Unaudited Interim Condensed Consolidated Statements of Changes in Shareholders’ Equity for the Periods Ended June 30, 2022 and 2023</w:t>
            </w: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0"/>
        </w:trPr>
        <w:tc>
          <w:tcPr>
            <w:tcW w:w="120" w:type="dxa"/>
            <w:vAlign w:val="bottom"/>
          </w:tcPr>
          <w:p>
            <w:pPr>
              <w:spacing w:after="0"/>
              <w:rPr>
                <w:sz w:val="16"/>
                <w:szCs w:val="16"/>
                <w:color w:val="auto"/>
              </w:rPr>
            </w:pPr>
          </w:p>
        </w:tc>
        <w:tc>
          <w:tcPr>
            <w:tcW w:w="10340" w:type="dxa"/>
            <w:vAlign w:val="bottom"/>
            <w:gridSpan w:val="15"/>
          </w:tcPr>
          <w:p>
            <w:pPr>
              <w:spacing w:after="0" w:line="190" w:lineRule="exact"/>
              <w:rPr>
                <w:sz w:val="20"/>
                <w:szCs w:val="20"/>
                <w:color w:val="auto"/>
              </w:rPr>
            </w:pPr>
            <w:r>
              <w:rPr>
                <w:rFonts w:ascii="Arial" w:cs="Arial" w:eastAsia="Arial" w:hAnsi="Arial"/>
                <w:sz w:val="18"/>
                <w:szCs w:val="18"/>
                <w:color w:val="0000EE"/>
              </w:rPr>
              <w:t>Unaudited Interim Condensed Consolidated Statements of Cash Flows for the Periods Ended June 30, 2022 and 2023</w:t>
            </w: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0"/>
        </w:trPr>
        <w:tc>
          <w:tcPr>
            <w:tcW w:w="120" w:type="dxa"/>
            <w:vAlign w:val="bottom"/>
          </w:tcPr>
          <w:p>
            <w:pPr>
              <w:spacing w:after="0"/>
              <w:rPr>
                <w:sz w:val="16"/>
                <w:szCs w:val="16"/>
                <w:color w:val="auto"/>
              </w:rPr>
            </w:pPr>
          </w:p>
        </w:tc>
        <w:tc>
          <w:tcPr>
            <w:tcW w:w="10340" w:type="dxa"/>
            <w:vAlign w:val="bottom"/>
            <w:gridSpan w:val="15"/>
          </w:tcPr>
          <w:p>
            <w:pPr>
              <w:spacing w:after="0" w:line="190" w:lineRule="exact"/>
              <w:rPr>
                <w:sz w:val="20"/>
                <w:szCs w:val="20"/>
                <w:color w:val="auto"/>
              </w:rPr>
            </w:pPr>
            <w:r>
              <w:rPr>
                <w:rFonts w:ascii="Arial" w:cs="Arial" w:eastAsia="Arial" w:hAnsi="Arial"/>
                <w:sz w:val="18"/>
                <w:szCs w:val="18"/>
                <w:color w:val="0000EE"/>
              </w:rPr>
              <w:t>Notes to the Unaudited Interim Condensed Consolidated Financial Statements</w:t>
            </w: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37"/>
        </w:trPr>
        <w:tc>
          <w:tcPr>
            <w:tcW w:w="12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80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gridSpan w:val="11"/>
          </w:tcPr>
          <w:p>
            <w:pPr>
              <w:jc w:val="center"/>
              <w:ind w:right="4220"/>
              <w:spacing w:after="0"/>
              <w:rPr>
                <w:sz w:val="20"/>
                <w:szCs w:val="20"/>
                <w:color w:val="auto"/>
              </w:rPr>
            </w:pPr>
            <w:r>
              <w:rPr>
                <w:rFonts w:ascii="Arial" w:cs="Arial" w:eastAsia="Arial" w:hAnsi="Arial"/>
                <w:sz w:val="18"/>
                <w:szCs w:val="18"/>
                <w:color w:val="auto"/>
                <w:w w:val="88"/>
              </w:rPr>
              <w:t>F-1</w:t>
            </w:r>
          </w:p>
        </w:tc>
        <w:tc>
          <w:tcPr>
            <w:tcW w:w="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have audited the accompanying statements of financial position of Abivax SA (the “Company”) as of December 31, 2022 and 2021, and the related statements of income (loss) and comprehensive income (loss), of changes in shareholders’ equity and of cash flows for each of the two years in the period ended December 31, 2022, including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International Financial Reporting Standards as issued by the International Accounting Standards Board and International Financial Reporting Standards as adopted by the European Union.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discussed in Note 2. Basis of preparation to the financial statements, the Company will need to continue to rely on additional capital from investors or lenders to meet its forecasted operating cash flow requirements.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Audit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Neuilly-sur-Seine, France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28,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9"/>
              </w:rPr>
              <w:t>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Intangible assets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9"/>
              </w:rPr>
              <w:t>7</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9"/>
              </w:rPr>
              <w:t>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1,342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11,708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and assets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33,745</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receivables and assets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14,784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26,950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75,485</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109,230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75,544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Share capital</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Premiums related to share capital</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107,578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150,476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Reserves</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(39,361)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(82,770)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(42,452)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13</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Retirement benefit obligations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16</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Borrowings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15</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16,458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2"/>
              </w:rPr>
              <w:t>15.1 &amp; 15.3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18,191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2"/>
              </w:rPr>
              <w:t>15.1 &amp; 15.3</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9,932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5"/>
              </w:rPr>
              <w:t>15.5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5,659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22</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51,032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36,223</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9"/>
              </w:rPr>
              <w:t>15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9,608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Convertible loan notes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5"/>
              </w:rPr>
              <w:t>15.3</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625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5"/>
              </w:rPr>
              <w:t>15.5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Trade payables and other current liabilities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5"/>
              </w:rPr>
              <w:t>17.1</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18,558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Tax and employee-related payables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5"/>
              </w:rPr>
              <w:t>17.2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Deferred income</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32,265</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109,230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75,544</w:t>
            </w:r>
          </w:p>
        </w:tc>
        <w:tc>
          <w:tcPr>
            <w:tcW w:w="0" w:type="dxa"/>
            <w:vAlign w:val="bottom"/>
          </w:tcPr>
          <w:p>
            <w:pPr>
              <w:spacing w:after="0"/>
              <w:rPr>
                <w:sz w:val="1"/>
                <w:szCs w:val="1"/>
                <w:color w:val="auto"/>
              </w:rPr>
            </w:pPr>
          </w:p>
        </w:tc>
      </w:tr>
      <w:tr>
        <w:trPr>
          <w:trHeight w:val="372"/>
        </w:trPr>
        <w:tc>
          <w:tcPr>
            <w:tcW w:w="4960" w:type="dxa"/>
            <w:vAlign w:val="bottom"/>
          </w:tcPr>
          <w:p>
            <w:pPr>
              <w:spacing w:after="0"/>
              <w:rPr>
                <w:sz w:val="24"/>
                <w:szCs w:val="24"/>
                <w:color w:val="auto"/>
              </w:rPr>
            </w:pPr>
          </w:p>
        </w:tc>
        <w:tc>
          <w:tcPr>
            <w:tcW w:w="3820" w:type="dxa"/>
            <w:vAlign w:val="bottom"/>
            <w:gridSpan w:val="3"/>
          </w:tcPr>
          <w:p>
            <w:pPr>
              <w:ind w:left="420"/>
              <w:spacing w:after="0"/>
              <w:rPr>
                <w:sz w:val="20"/>
                <w:szCs w:val="20"/>
                <w:color w:val="auto"/>
              </w:rPr>
            </w:pPr>
            <w:r>
              <w:rPr>
                <w:rFonts w:ascii="Arial" w:cs="Arial" w:eastAsia="Arial" w:hAnsi="Arial"/>
                <w:sz w:val="18"/>
                <w:szCs w:val="18"/>
                <w:color w:val="auto"/>
              </w:rPr>
              <w:t>F-3</w:t>
            </w:r>
          </w:p>
        </w:tc>
        <w:tc>
          <w:tcPr>
            <w:tcW w:w="8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ABIVAX SA STATEMENTS OF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14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Total operating income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(47,781)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(48,295)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1"/>
              </w:rPr>
              <w:t>19.2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(5,580)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(13,632)</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(53,361)</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(64,836)</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Financial expenses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Financial gain (loss)</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before tax</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Income tax</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22</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for the year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Loss per share (€/share)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outstanding shares used for computing basic/diluted loss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15,455,991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19,092,442</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23</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140" w:type="dxa"/>
            <w:vAlign w:val="bottom"/>
          </w:tcPr>
          <w:p>
            <w:pPr>
              <w:ind w:left="5380"/>
              <w:spacing w:after="0"/>
              <w:rPr>
                <w:sz w:val="20"/>
                <w:szCs w:val="20"/>
                <w:color w:val="auto"/>
              </w:rPr>
            </w:pPr>
            <w:r>
              <w:rPr>
                <w:rFonts w:ascii="Arial" w:cs="Arial" w:eastAsia="Arial" w:hAnsi="Arial"/>
                <w:sz w:val="18"/>
                <w:szCs w:val="18"/>
                <w:color w:val="auto"/>
              </w:rPr>
              <w:t>F-4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3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(42,452)</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Items that will not be reclassified to profit or loss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i w:val="1"/>
                <w:iCs w:val="1"/>
                <w:color w:val="auto"/>
                <w:w w:val="79"/>
              </w:rPr>
              <w:t>169</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 on retirement benefit obligations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auto"/>
              </w:rPr>
              <w:t>Items that will be reclassified to profit or loss</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(42,283)</w:t>
            </w: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820" w:type="dxa"/>
            <w:vAlign w:val="bottom"/>
          </w:tcPr>
          <w:p>
            <w:pPr>
              <w:spacing w:after="0"/>
              <w:rPr>
                <w:sz w:val="24"/>
                <w:szCs w:val="24"/>
                <w:color w:val="auto"/>
              </w:rPr>
            </w:pPr>
          </w:p>
        </w:tc>
        <w:tc>
          <w:tcPr>
            <w:tcW w:w="3860" w:type="dxa"/>
            <w:vAlign w:val="bottom"/>
            <w:gridSpan w:val="3"/>
          </w:tcPr>
          <w:p>
            <w:pPr>
              <w:ind w:left="560"/>
              <w:spacing w:after="0"/>
              <w:rPr>
                <w:sz w:val="20"/>
                <w:szCs w:val="20"/>
                <w:color w:val="auto"/>
              </w:rPr>
            </w:pPr>
            <w:r>
              <w:rPr>
                <w:rFonts w:ascii="Arial" w:cs="Arial" w:eastAsia="Arial" w:hAnsi="Arial"/>
                <w:sz w:val="18"/>
                <w:szCs w:val="18"/>
                <w:color w:val="auto"/>
              </w:rPr>
              <w:t>F-5</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share date)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PREMIUMS</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RELATED TO</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 LOSS</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 except</w:t>
            </w: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SHARES</w:t>
            </w:r>
          </w:p>
        </w:tc>
        <w:tc>
          <w:tcPr>
            <w:tcW w:w="102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SHARE</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RESERVES</w:t>
            </w:r>
          </w:p>
        </w:tc>
        <w:tc>
          <w:tcPr>
            <w:tcW w:w="14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i w:val="1"/>
                <w:iCs w:val="1"/>
                <w:color w:val="auto"/>
              </w:rPr>
              <w:t>number of shares)</w:t>
            </w: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ISSUED</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1140" w:type="dxa"/>
            <w:vAlign w:val="bottom"/>
            <w:gridSpan w:val="2"/>
            <w:vMerge w:val="continue"/>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FOR THE 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of January 1, 2021</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14,320,271</w:t>
            </w: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w w:val="76"/>
              </w:rPr>
              <w:t>143</w:t>
            </w:r>
          </w:p>
        </w:tc>
        <w:tc>
          <w:tcPr>
            <w:tcW w:w="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42,073</w:t>
            </w:r>
          </w:p>
        </w:tc>
        <w:tc>
          <w:tcPr>
            <w:tcW w:w="3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(2,851)</w:t>
            </w:r>
          </w:p>
        </w:tc>
        <w:tc>
          <w:tcPr>
            <w:tcW w:w="3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(37,633)</w:t>
            </w:r>
          </w:p>
        </w:tc>
        <w:tc>
          <w:tcPr>
            <w:tcW w:w="3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1,733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color w:val="auto"/>
              </w:rPr>
              <w:t>Net loss for the year</w:t>
            </w:r>
          </w:p>
        </w:tc>
        <w:tc>
          <w:tcPr>
            <w:tcW w:w="880" w:type="dxa"/>
            <w:vAlign w:val="bottom"/>
          </w:tcPr>
          <w:p>
            <w:pPr>
              <w:ind w:left="660"/>
              <w:spacing w:after="0" w:line="155" w:lineRule="exact"/>
              <w:rPr>
                <w:sz w:val="20"/>
                <w:szCs w:val="20"/>
                <w:color w:val="auto"/>
              </w:rPr>
            </w:pPr>
            <w:r>
              <w:rPr>
                <w:rFonts w:ascii="Arial" w:cs="Arial" w:eastAsia="Arial" w:hAnsi="Arial"/>
                <w:sz w:val="14"/>
                <w:szCs w:val="14"/>
                <w:color w:val="auto"/>
                <w:w w:val="80"/>
              </w:rPr>
              <w:t>—  </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ind w:left="440"/>
              <w:spacing w:after="0" w:line="155" w:lineRule="exact"/>
              <w:rPr>
                <w:sz w:val="20"/>
                <w:szCs w:val="20"/>
                <w:color w:val="auto"/>
              </w:rPr>
            </w:pPr>
            <w:r>
              <w:rPr>
                <w:rFonts w:ascii="Arial" w:cs="Arial" w:eastAsia="Arial" w:hAnsi="Arial"/>
                <w:sz w:val="14"/>
                <w:szCs w:val="14"/>
                <w:color w:val="auto"/>
                <w:w w:val="72"/>
              </w:rPr>
              <w:t>—  </w:t>
            </w:r>
          </w:p>
        </w:tc>
        <w:tc>
          <w:tcPr>
            <w:tcW w:w="3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—  </w:t>
            </w:r>
          </w:p>
        </w:tc>
        <w:tc>
          <w:tcPr>
            <w:tcW w:w="380" w:type="dxa"/>
            <w:vAlign w:val="bottom"/>
          </w:tcPr>
          <w:p>
            <w:pPr>
              <w:spacing w:after="0"/>
              <w:rPr>
                <w:sz w:val="13"/>
                <w:szCs w:val="13"/>
                <w:color w:val="auto"/>
              </w:rPr>
            </w:pPr>
          </w:p>
        </w:tc>
        <w:tc>
          <w:tcPr>
            <w:tcW w:w="760" w:type="dxa"/>
            <w:vAlign w:val="bottom"/>
          </w:tcPr>
          <w:p>
            <w:pPr>
              <w:ind w:left="540"/>
              <w:spacing w:after="0" w:line="155" w:lineRule="exact"/>
              <w:rPr>
                <w:sz w:val="20"/>
                <w:szCs w:val="20"/>
                <w:color w:val="auto"/>
              </w:rPr>
            </w:pPr>
            <w:r>
              <w:rPr>
                <w:rFonts w:ascii="Arial" w:cs="Arial" w:eastAsia="Arial" w:hAnsi="Arial"/>
                <w:sz w:val="14"/>
                <w:szCs w:val="14"/>
                <w:color w:val="auto"/>
                <w:w w:val="80"/>
              </w:rPr>
              <w:t>—  </w:t>
            </w:r>
          </w:p>
        </w:tc>
        <w:tc>
          <w:tcPr>
            <w:tcW w:w="38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(42,452)</w:t>
            </w:r>
          </w:p>
        </w:tc>
        <w:tc>
          <w:tcPr>
            <w:tcW w:w="3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(42,452)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4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169</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3"/>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Total comprehensive loss for the year</w:t>
            </w:r>
          </w:p>
        </w:tc>
        <w:tc>
          <w:tcPr>
            <w:tcW w:w="880" w:type="dxa"/>
            <w:vAlign w:val="bottom"/>
            <w:tcBorders>
              <w:top w:val="single" w:sz="8" w:color="auto"/>
              <w:bottom w:val="single" w:sz="8" w:color="auto"/>
            </w:tcBorders>
          </w:tcPr>
          <w:p>
            <w:pPr>
              <w:ind w:left="660"/>
              <w:spacing w:after="0" w:line="155" w:lineRule="exact"/>
              <w:rPr>
                <w:sz w:val="20"/>
                <w:szCs w:val="20"/>
                <w:color w:val="auto"/>
              </w:rPr>
            </w:pPr>
            <w:r>
              <w:rPr>
                <w:rFonts w:ascii="Arial" w:cs="Arial" w:eastAsia="Arial" w:hAnsi="Arial"/>
                <w:sz w:val="14"/>
                <w:szCs w:val="14"/>
                <w:b w:val="1"/>
                <w:bCs w:val="1"/>
                <w:color w:val="auto"/>
                <w:w w:val="80"/>
              </w:rPr>
              <w:t>—  </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72"/>
              </w:rPr>
              <w:t>—  </w:t>
            </w:r>
          </w:p>
        </w:tc>
        <w:tc>
          <w:tcPr>
            <w:tcW w:w="3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38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w w:val="85"/>
              </w:rPr>
              <w:t>169</w:t>
            </w:r>
          </w:p>
        </w:tc>
        <w:tc>
          <w:tcPr>
            <w:tcW w:w="3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(42,452)</w:t>
            </w:r>
          </w:p>
        </w:tc>
        <w:tc>
          <w:tcPr>
            <w:tcW w:w="3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(42,283)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Appropriation of 2020 net loss</w:t>
            </w:r>
          </w:p>
        </w:tc>
        <w:tc>
          <w:tcPr>
            <w:tcW w:w="134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(37,633)</w:t>
            </w:r>
          </w:p>
        </w:tc>
        <w:tc>
          <w:tcPr>
            <w:tcW w:w="14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37,633</w:t>
            </w: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Capital increase from issuance of ordinary shares</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1,964,031</w:t>
            </w:r>
          </w:p>
        </w:tc>
        <w:tc>
          <w:tcPr>
            <w:tcW w:w="44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w:t>
            </w: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59,982</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—  </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134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(4,090)</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—  </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(4,090)</w:t>
            </w:r>
          </w:p>
        </w:tc>
        <w:tc>
          <w:tcPr>
            <w:tcW w:w="0" w:type="dxa"/>
            <w:vAlign w:val="bottom"/>
          </w:tcPr>
          <w:p>
            <w:pPr>
              <w:spacing w:after="0"/>
              <w:rPr>
                <w:sz w:val="1"/>
                <w:szCs w:val="1"/>
                <w:color w:val="auto"/>
              </w:rPr>
            </w:pPr>
          </w:p>
        </w:tc>
      </w:tr>
      <w:tr>
        <w:trPr>
          <w:trHeight w:val="130"/>
        </w:trPr>
        <w:tc>
          <w:tcPr>
            <w:tcW w:w="3380" w:type="dxa"/>
            <w:vAlign w:val="bottom"/>
          </w:tcPr>
          <w:p>
            <w:pPr>
              <w:spacing w:after="0" w:line="130" w:lineRule="exact"/>
              <w:rPr>
                <w:sz w:val="20"/>
                <w:szCs w:val="20"/>
                <w:color w:val="auto"/>
              </w:rPr>
            </w:pPr>
            <w:r>
              <w:rPr>
                <w:rFonts w:ascii="Arial" w:cs="Arial" w:eastAsia="Arial" w:hAnsi="Arial"/>
                <w:sz w:val="14"/>
                <w:szCs w:val="14"/>
                <w:color w:val="auto"/>
              </w:rPr>
              <w:t>Exercises of share warrants under the Equity line</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140"/>
              <w:spacing w:after="0"/>
              <w:rPr>
                <w:sz w:val="20"/>
                <w:szCs w:val="20"/>
                <w:color w:val="auto"/>
              </w:rPr>
            </w:pPr>
            <w:r>
              <w:rPr>
                <w:rFonts w:ascii="Arial" w:cs="Arial" w:eastAsia="Arial" w:hAnsi="Arial"/>
                <w:sz w:val="14"/>
                <w:szCs w:val="14"/>
                <w:color w:val="auto"/>
              </w:rPr>
              <w:t>agreement</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color w:val="auto"/>
              </w:rPr>
              <w:t>312,000</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3</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8,094</w:t>
            </w:r>
          </w:p>
        </w:tc>
        <w:tc>
          <w:tcPr>
            <w:tcW w:w="1140" w:type="dxa"/>
            <w:vAlign w:val="bottom"/>
            <w:gridSpan w:val="2"/>
          </w:tcPr>
          <w:p>
            <w:pPr>
              <w:ind w:left="540"/>
              <w:spacing w:after="0"/>
              <w:rPr>
                <w:sz w:val="20"/>
                <w:szCs w:val="20"/>
                <w:color w:val="auto"/>
              </w:rPr>
            </w:pPr>
            <w:r>
              <w:rPr>
                <w:rFonts w:ascii="Arial" w:cs="Arial" w:eastAsia="Arial" w:hAnsi="Arial"/>
                <w:sz w:val="14"/>
                <w:szCs w:val="14"/>
                <w:color w:val="auto"/>
              </w:rPr>
              <w:t>—  </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8,097</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share warrants</w:t>
            </w:r>
          </w:p>
        </w:tc>
        <w:tc>
          <w:tcPr>
            <w:tcW w:w="13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167,749</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1,520</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—  </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Shares based compensation expense</w:t>
            </w:r>
          </w:p>
        </w:tc>
        <w:tc>
          <w:tcPr>
            <w:tcW w:w="134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828</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on treasury shares</w:t>
            </w:r>
          </w:p>
        </w:tc>
        <w:tc>
          <w:tcPr>
            <w:tcW w:w="134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126</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As of December 31, 2021</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16,764,051</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76"/>
              </w:rPr>
              <w:t>168</w:t>
            </w:r>
          </w:p>
        </w:tc>
        <w:tc>
          <w:tcPr>
            <w:tcW w:w="3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107,578</w:t>
            </w:r>
          </w:p>
        </w:tc>
        <w:tc>
          <w:tcPr>
            <w:tcW w:w="3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(39,361)</w:t>
            </w:r>
          </w:p>
        </w:tc>
        <w:tc>
          <w:tcPr>
            <w:tcW w:w="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(42,452)</w:t>
            </w:r>
          </w:p>
        </w:tc>
        <w:tc>
          <w:tcPr>
            <w:tcW w:w="36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25,934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for the year</w:t>
            </w:r>
          </w:p>
        </w:tc>
        <w:tc>
          <w:tcPr>
            <w:tcW w:w="1340" w:type="dxa"/>
            <w:vAlign w:val="bottom"/>
            <w:gridSpan w:val="3"/>
            <w:shd w:val="clear" w:color="auto" w:fill="CCEEFF"/>
          </w:tcPr>
          <w:p>
            <w:pPr>
              <w:ind w:left="660"/>
              <w:spacing w:after="0" w:line="143" w:lineRule="exact"/>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—  </w:t>
            </w:r>
          </w:p>
        </w:tc>
        <w:tc>
          <w:tcPr>
            <w:tcW w:w="13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4"/>
                <w:szCs w:val="14"/>
                <w:color w:val="auto"/>
              </w:rPr>
              <w:t>—  </w:t>
            </w:r>
          </w:p>
        </w:tc>
        <w:tc>
          <w:tcPr>
            <w:tcW w:w="14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(60,740)</w:t>
            </w:r>
          </w:p>
        </w:tc>
        <w:tc>
          <w:tcPr>
            <w:tcW w:w="13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(60,740)</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4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235</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comprehensive loss for the year</w:t>
            </w:r>
          </w:p>
        </w:tc>
        <w:tc>
          <w:tcPr>
            <w:tcW w:w="134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b w:val="1"/>
                <w:bCs w:val="1"/>
                <w:color w:val="auto"/>
              </w:rPr>
              <w:t>—  </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—  </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—  </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235</w:t>
            </w:r>
          </w:p>
        </w:tc>
        <w:tc>
          <w:tcPr>
            <w:tcW w:w="1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(60,740)</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(60,506)</w:t>
            </w: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Appropriation of 2021 net loss</w:t>
            </w:r>
          </w:p>
        </w:tc>
        <w:tc>
          <w:tcPr>
            <w:tcW w:w="880" w:type="dxa"/>
            <w:vAlign w:val="bottom"/>
            <w:tcBorders>
              <w:top w:val="single" w:sz="8" w:color="auto"/>
            </w:tcBorders>
          </w:tcPr>
          <w:p>
            <w:pPr>
              <w:ind w:left="660"/>
              <w:spacing w:after="0" w:line="155" w:lineRule="exact"/>
              <w:rPr>
                <w:sz w:val="20"/>
                <w:szCs w:val="20"/>
                <w:color w:val="auto"/>
              </w:rPr>
            </w:pPr>
            <w:r>
              <w:rPr>
                <w:rFonts w:ascii="Arial" w:cs="Arial" w:eastAsia="Arial" w:hAnsi="Arial"/>
                <w:sz w:val="14"/>
                <w:szCs w:val="14"/>
                <w:color w:val="auto"/>
                <w:w w:val="80"/>
              </w:rPr>
              <w:t>—  </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tcBorders>
          </w:tcPr>
          <w:p>
            <w:pPr>
              <w:ind w:left="440"/>
              <w:spacing w:after="0" w:line="155" w:lineRule="exact"/>
              <w:rPr>
                <w:sz w:val="20"/>
                <w:szCs w:val="20"/>
                <w:color w:val="auto"/>
              </w:rPr>
            </w:pPr>
            <w:r>
              <w:rPr>
                <w:rFonts w:ascii="Arial" w:cs="Arial" w:eastAsia="Arial" w:hAnsi="Arial"/>
                <w:sz w:val="14"/>
                <w:szCs w:val="14"/>
                <w:color w:val="auto"/>
                <w:w w:val="72"/>
              </w:rPr>
              <w:t>—  </w:t>
            </w:r>
          </w:p>
        </w:tc>
        <w:tc>
          <w:tcPr>
            <w:tcW w:w="3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—  </w:t>
            </w:r>
          </w:p>
        </w:tc>
        <w:tc>
          <w:tcPr>
            <w:tcW w:w="38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(42,452)</w:t>
            </w:r>
          </w:p>
        </w:tc>
        <w:tc>
          <w:tcPr>
            <w:tcW w:w="380" w:type="dxa"/>
            <w:vAlign w:val="bottom"/>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42,452</w:t>
            </w:r>
          </w:p>
        </w:tc>
        <w:tc>
          <w:tcPr>
            <w:tcW w:w="360" w:type="dxa"/>
            <w:vAlign w:val="bottom"/>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increase from issuance of ordinary shares</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5,530,000</w:t>
            </w:r>
          </w:p>
        </w:tc>
        <w:tc>
          <w:tcPr>
            <w:tcW w:w="4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46,176</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—  </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46,231</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134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(3,280)</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—  </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share warrants</w:t>
            </w:r>
          </w:p>
        </w:tc>
        <w:tc>
          <w:tcPr>
            <w:tcW w:w="13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19,134</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—  </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Shares based compensation expense</w:t>
            </w:r>
          </w:p>
        </w:tc>
        <w:tc>
          <w:tcPr>
            <w:tcW w:w="134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(1,164)</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on treasury shares</w:t>
            </w:r>
          </w:p>
        </w:tc>
        <w:tc>
          <w:tcPr>
            <w:tcW w:w="134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As of December 31, 2022</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22,313,185</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76"/>
              </w:rPr>
              <w:t>223</w:t>
            </w:r>
          </w:p>
        </w:tc>
        <w:tc>
          <w:tcPr>
            <w:tcW w:w="3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150,476</w:t>
            </w:r>
          </w:p>
        </w:tc>
        <w:tc>
          <w:tcPr>
            <w:tcW w:w="3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(82,771)</w:t>
            </w:r>
          </w:p>
        </w:tc>
        <w:tc>
          <w:tcPr>
            <w:tcW w:w="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(60,740)</w:t>
            </w:r>
          </w:p>
        </w:tc>
        <w:tc>
          <w:tcPr>
            <w:tcW w:w="36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(Amounts in thousands of euros)</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0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8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used in operating activities</w:t>
            </w: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Net loss for the year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(42,452)</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(60,740)</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Ajustments for:</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Elimination of amortization of intangibles and depreciation of property, plant and equipment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Elimination of Impairment loss of goodwill</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76"/>
              </w:rPr>
              <w:t>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13,632</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Elimination of retirement benefit obligations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16</w:t>
            </w: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117</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Elimination of share-based compensation expenses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828</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 Net gain on sale of treasury shares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expenses and other</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21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3,561</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7,028</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 Financial income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 of unwinding the discount related to conditional advances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1,939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Decrease/(increase) in derivatives and liabilities fair value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(2,427)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(10,817)</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Redemption of Covid 19 conditional advances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(6,348)</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400" w:type="dxa"/>
            <w:vAlign w:val="bottom"/>
          </w:tcPr>
          <w:p>
            <w:pPr>
              <w:spacing w:after="0" w:line="149" w:lineRule="exact"/>
              <w:rPr>
                <w:sz w:val="20"/>
                <w:szCs w:val="20"/>
                <w:color w:val="auto"/>
              </w:rPr>
            </w:pPr>
            <w:r>
              <w:rPr>
                <w:rFonts w:ascii="Arial" w:cs="Arial" w:eastAsia="Arial" w:hAnsi="Arial"/>
                <w:sz w:val="14"/>
                <w:szCs w:val="14"/>
                <w:color w:val="auto"/>
                <w:w w:val="90"/>
              </w:rPr>
              <w:t>Others</w:t>
            </w:r>
          </w:p>
        </w:tc>
        <w:tc>
          <w:tcPr>
            <w:tcW w:w="7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operating activities before change in working capital requirements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(44,381)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(51,933)</w:t>
            </w:r>
          </w:p>
        </w:tc>
        <w:tc>
          <w:tcPr>
            <w:tcW w:w="0" w:type="dxa"/>
            <w:vAlign w:val="bottom"/>
          </w:tcPr>
          <w:p>
            <w:pPr>
              <w:spacing w:after="0"/>
              <w:rPr>
                <w:sz w:val="1"/>
                <w:szCs w:val="1"/>
                <w:color w:val="auto"/>
              </w:rPr>
            </w:pPr>
          </w:p>
        </w:tc>
      </w:tr>
      <w:tr>
        <w:trPr>
          <w:trHeight w:val="156"/>
        </w:trPr>
        <w:tc>
          <w:tcPr>
            <w:tcW w:w="8060" w:type="dxa"/>
            <w:vAlign w:val="bottom"/>
            <w:gridSpan w:val="2"/>
          </w:tcPr>
          <w:p>
            <w:pPr>
              <w:spacing w:after="0" w:line="155" w:lineRule="exact"/>
              <w:rPr>
                <w:sz w:val="20"/>
                <w:szCs w:val="20"/>
                <w:color w:val="auto"/>
              </w:rPr>
            </w:pPr>
            <w:r>
              <w:rPr>
                <w:rFonts w:ascii="Arial" w:cs="Arial" w:eastAsia="Arial" w:hAnsi="Arial"/>
                <w:sz w:val="14"/>
                <w:szCs w:val="14"/>
                <w:color w:val="auto"/>
              </w:rPr>
              <w:t>Decrease / (increase) in other receivables and related accounts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(1,977)</w:t>
            </w:r>
          </w:p>
        </w:tc>
        <w:tc>
          <w:tcPr>
            <w:tcW w:w="3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 (decrease) in trade payables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Increase / (decrease) in tax and social security liabilities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209</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 (decrease) in deferred income and other liabilities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3"/>
        </w:trPr>
        <w:tc>
          <w:tcPr>
            <w:tcW w:w="8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Changes in working capital requirements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(667)</w:t>
            </w:r>
          </w:p>
        </w:tc>
        <w:tc>
          <w:tcPr>
            <w:tcW w:w="3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operating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(45,048)</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(53,936)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used in investing activities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Acquisitions of intangible assets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Acquisitions of property, plant and equipment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Advances related to CRO contracts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76"/>
              </w:rPr>
              <w:t>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(12,187)</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Repayment / (disbursement) of the advance made to the Nice CHU</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10</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(4,000)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3,302</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Payments for the acquisition of Prosynergia, incl. acquisition related costs, net of cash acquired </w:t>
            </w:r>
            <w:r>
              <w:rPr>
                <w:rFonts w:ascii="Arial" w:cs="Arial" w:eastAsia="Arial" w:hAnsi="Arial"/>
                <w:sz w:val="10"/>
                <w:szCs w:val="10"/>
                <w:color w:val="auto"/>
              </w:rPr>
              <w:t>(1)</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5"/>
              </w:rPr>
              <w:t>4.15 &amp; 10</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(2,176)</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Increase in deposits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9</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 in deposits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76"/>
              </w:rPr>
              <w:t>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investing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(6,232)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(12,026)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increases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69,683</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46,231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(4,153)</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 subscription</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Repayments of KREOS </w:t>
            </w:r>
            <w:r>
              <w:rPr>
                <w:rFonts w:ascii="Arial" w:cs="Arial" w:eastAsia="Arial" w:hAnsi="Arial"/>
                <w:sz w:val="10"/>
                <w:szCs w:val="10"/>
                <w:color w:val="auto"/>
              </w:rPr>
              <w:t>(2)</w:t>
            </w:r>
            <w:r>
              <w:rPr>
                <w:rFonts w:ascii="Arial" w:cs="Arial" w:eastAsia="Arial" w:hAnsi="Arial"/>
                <w:sz w:val="14"/>
                <w:szCs w:val="14"/>
                <w:color w:val="auto"/>
              </w:rPr>
              <w:t xml:space="preserve"> 1&amp;2 bond loans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(5,537)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(9,410)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from the royalty certificates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Net proceeds from OCEANE issuance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24,913</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from sale of treasury shares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Repayments of conditional advances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of the lease liabilities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Interest paid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(1,908)</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provided by (used in) financing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82,679</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32,211</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31,399</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(33,751)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Cash and cash equivalents at the beginning of the year</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29,302</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60,701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at the end of the year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60,701</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26,950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(decrease) in cash and cash equivalents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31,399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(33,751)</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0"/>
                <w:szCs w:val="20"/>
                <w:color w:val="auto"/>
              </w:rPr>
            </w:pPr>
            <w:r>
              <w:rPr>
                <w:rFonts w:ascii="Arial" w:cs="Arial" w:eastAsia="Arial" w:hAnsi="Arial"/>
                <w:sz w:val="14"/>
                <w:szCs w:val="14"/>
                <w:color w:val="auto"/>
              </w:rPr>
              <w:t>(1)</w:t>
            </w:r>
          </w:p>
        </w:tc>
        <w:tc>
          <w:tcPr>
            <w:tcW w:w="7660" w:type="dxa"/>
            <w:vAlign w:val="bottom"/>
          </w:tcPr>
          <w:p>
            <w:pPr>
              <w:ind w:left="20"/>
              <w:spacing w:after="0"/>
              <w:rPr>
                <w:sz w:val="20"/>
                <w:szCs w:val="20"/>
                <w:color w:val="auto"/>
              </w:rPr>
            </w:pPr>
            <w:r>
              <w:rPr>
                <w:rFonts w:ascii="Arial" w:cs="Arial" w:eastAsia="Arial" w:hAnsi="Arial"/>
                <w:sz w:val="14"/>
                <w:szCs w:val="14"/>
                <w:color w:val="auto"/>
              </w:rPr>
              <w:t>Prosynergia SARL (or “Prosynergia”)</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20"/>
                <w:szCs w:val="20"/>
                <w:color w:val="auto"/>
              </w:rPr>
            </w:pPr>
            <w:r>
              <w:rPr>
                <w:rFonts w:ascii="Arial" w:cs="Arial" w:eastAsia="Arial" w:hAnsi="Arial"/>
                <w:sz w:val="14"/>
                <w:szCs w:val="14"/>
                <w:color w:val="auto"/>
              </w:rPr>
              <w:t>(2)</w:t>
            </w:r>
          </w:p>
        </w:tc>
        <w:tc>
          <w:tcPr>
            <w:tcW w:w="7660" w:type="dxa"/>
            <w:vAlign w:val="bottom"/>
          </w:tcPr>
          <w:p>
            <w:pPr>
              <w:ind w:left="20"/>
              <w:spacing w:after="0"/>
              <w:rPr>
                <w:sz w:val="20"/>
                <w:szCs w:val="20"/>
                <w:color w:val="auto"/>
              </w:rPr>
            </w:pPr>
            <w:r>
              <w:rPr>
                <w:rFonts w:ascii="Arial" w:cs="Arial" w:eastAsia="Arial" w:hAnsi="Arial"/>
                <w:sz w:val="14"/>
                <w:szCs w:val="14"/>
                <w:color w:val="auto"/>
              </w:rPr>
              <w:t>Kreos Capital V UK Ltd (or “Kreos”)</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7660" w:type="dxa"/>
            <w:vAlign w:val="bottom"/>
          </w:tcPr>
          <w:p>
            <w:pPr>
              <w:ind w:left="4980"/>
              <w:spacing w:after="0"/>
              <w:rPr>
                <w:sz w:val="20"/>
                <w:szCs w:val="20"/>
                <w:color w:val="auto"/>
              </w:rPr>
            </w:pPr>
            <w:r>
              <w:rPr>
                <w:rFonts w:ascii="Arial" w:cs="Arial" w:eastAsia="Arial" w:hAnsi="Arial"/>
                <w:sz w:val="18"/>
                <w:szCs w:val="18"/>
                <w:color w:val="auto"/>
              </w:rPr>
              <w:t>F-7</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ABIVAX SA NOTES TO THE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1.1. Information on the Company and its business</w:t>
      </w:r>
    </w:p>
    <w:p>
      <w:pPr>
        <w:spacing w:after="0" w:line="11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 xml:space="preserve">ABIVAX SA (the “Company”) is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incorporated under the laws of France on December 4, 2013. Its registered office is located at 7-11 Boulevard Haussmann—75009 Paris, France. The Company is developing innovative therapeutic approaches (drugs and immunotherapies) to modulate the body’s natural immune system to treat patients with chronic inflammatory diseases, viral infections, and cancer.</w:t>
      </w:r>
    </w:p>
    <w:p>
      <w:pPr>
        <w:spacing w:after="0" w:line="16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Company has incurred losses since its inception and had shareholders’ equity of €7,189 thousand as of December 31, 2022. The Company anticipates incurring additional losses until such time, if ever, that it can generate significant revenue from its drug candidates which are currently under development. Substantial additional financing will be needed by the Company to fund its operations and to commercially develop its drug candidates.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future operations are highly dependent on a combination of factors, including: (i) the success of its research and development activities;</w:t>
      </w:r>
    </w:p>
    <w:p>
      <w:pPr>
        <w:spacing w:after="0" w:line="46" w:lineRule="exact"/>
        <w:rPr>
          <w:sz w:val="20"/>
          <w:szCs w:val="20"/>
          <w:color w:val="auto"/>
        </w:rPr>
      </w:pPr>
    </w:p>
    <w:p>
      <w:pPr>
        <w:ind w:left="380" w:hanging="264"/>
        <w:spacing w:after="0"/>
        <w:tabs>
          <w:tab w:leader="none" w:pos="3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regulatory approval and market acceptance of its proposed future products; (iii) the timely and successful completion of additional financing and</w:t>
      </w:r>
    </w:p>
    <w:p>
      <w:pPr>
        <w:spacing w:after="0" w:line="32" w:lineRule="exact"/>
        <w:rPr>
          <w:rFonts w:ascii="Arial" w:cs="Arial" w:eastAsia="Arial" w:hAnsi="Arial"/>
          <w:sz w:val="16"/>
          <w:szCs w:val="16"/>
          <w:color w:val="auto"/>
        </w:rPr>
      </w:pPr>
    </w:p>
    <w:p>
      <w:pPr>
        <w:ind w:left="120" w:right="520" w:hanging="4"/>
        <w:spacing w:after="0" w:line="260" w:lineRule="auto"/>
        <w:tabs>
          <w:tab w:leader="none" w:pos="4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development of competitive therapies by other biotechnology and pharmaceutical companies. As a result, the Company is, and expects to continue to be, in the short to mid-term, financed through the issuance of new equity or debt instruments.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focusing its efforts on the following points:</w:t>
      </w:r>
    </w:p>
    <w:p>
      <w:pPr>
        <w:spacing w:after="0" w:line="131" w:lineRule="exact"/>
        <w:rPr>
          <w:sz w:val="20"/>
          <w:szCs w:val="20"/>
          <w:color w:val="auto"/>
        </w:rPr>
      </w:pPr>
    </w:p>
    <w:p>
      <w:pPr>
        <w:ind w:left="1080" w:right="100" w:hanging="424"/>
        <w:spacing w:after="0" w:line="263"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Continuation of the clinical development program for obefazimod, with priority given to the treatment of chronic inflammatory diseases. The specific order of priority is as follows: chronic inflammatory bowel disease (“IBD”), starting with ulcerative colitis (“UC”), followed by Crohn’s disease, and other indications.</w:t>
      </w:r>
    </w:p>
    <w:p>
      <w:pPr>
        <w:spacing w:after="0" w:line="89"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Continuation of other therapeutic indicators of obefazimod according to the relevance of scientific data and research into potential derivative molecules of obefazimod.</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Research into new molecules aimed at treating chronic inflammatory diseases and major viral infections (“Modulation of RNA Biogenesis” platform).</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During the year ended December 31, 2022, due to the lack of progress made in the negotiation of a development partnership, the Company made the decision to freeze the development program for ABX196 in the treatment of hepatocellular cancer (see Note 3.2.Significant events for year ended December 31,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1.2. Date of authorization of issuance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financial statements and related notes (the “financial statements”) have been prepared under the responsibility of management of the Company and were approved and authorized for issuance by the Company’s board of directors on April 18, 2023.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preparation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Except for share data and per share amounts, the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compliance</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financial statements of the Company as of and for the years ended December 31, 2021 and 2022 have been prepared in accordance with both International Financial Reporting Standards (“IFRS”) as issued by the International Accounting Standard Board (“IASB”) and IFRS as adopted by the European Union (“EU”) regulation n°1606/2002 of July 19, 2002. The term “IFRS” refers collectively to International Accounting Standards (“IAS”) and IFRS as well as the interpretations issued by the Standing Interpretations Committee (“SIC”) and the International Financial Reporting Interpretations Committee (“IFRIC”), whose application is mandatory for the year ended December 31, 2022.</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Preparation of the financial statements</w:t>
      </w:r>
    </w:p>
    <w:p>
      <w:pPr>
        <w:spacing w:after="0" w:line="117"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The financial statements of the Company were prepared on a historical cost basis, with the exception of certain asset and liability categories and in accordance with the provisions set out in IFRS such as employee benefits measured using the projected unit credit method, borrowings measured at amortized cost and derivative financial instruments measured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Company has incurred substantial operating losses since inception, and expects to continue to incur significant operating losses for the foreseeable future and may never become profitable. For the year ended December 31, 2022, the Company had a net loss of €60.7 million.</w:t>
      </w:r>
    </w:p>
    <w:p>
      <w:pPr>
        <w:spacing w:after="0" w:line="146"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Since inception, the Company has financed its operations through the issuance of ordinary shares with gross aggregate proceeds of €336.8 million, of which €130 million of gross proceeds were from offerings of its ordinary shares on Euronext Paris in February 2023, bank borrowings and structured loans for €65.0 million to date, reimbursements of Research Tax Credits (Crédit d’Impôt Recherche (“CIR”)) in an aggregate amount of €26.6 million, and subsidies received from Banque Publique d’Investissement (“Bpifrance”) (including €13.5 million of subsidies and €6.6 million of conditional advances to date). As a result of the level of available cash and cash equivalent of €27.0 million as of December 31, 2022, the February 2023 capital increase amounting to €123.3 million in net proceeds and the reimbursement of the 2022 Research Tax Credit in 2023, and under the assumption that R&amp;D needs are being substantially increased in 2023, as the Company continues to make progress on its lead drug candidate obefazimod, which has started enrollment of patients in its UC Phase 3 clinical trials in October 2022, the Company expects, as of the date of issuance of these financial statements, it will be able to fund its forecasted operating cash flow requirements throughout the second quarter of 2024.</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expects it will be able to extend its financing horizon beyond the second quarter of 2024 through additional dilutive and non-dilutive financing, which could include a combination of capital increase, venture loans and convertible bonds. Based on the above and the actions the Company has taken, management has concluded that the substantial doubt about its ability to continue as a going concern has been alleviated beyond 12 months from issuance of these financial statements, and these financial statements have been prepared on a going concern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the Ukraine/Russia Hostilities on the Company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Given these developments, the Company has decided not to include Ukraine, Russia and Belarus in its global Phase 3 program for obefazimod in UC. However, the global scale of this conflict cannot be predicted at this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stage. The Company, therefore, cannot rule out an adverse impact of this conflict on its business, including in terms of access to raw materials, logistics, the performance of clinical studies and in relation to any future financing the Company may seek.</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Phase 2b maintenance trial of obefazimod in moderately to severely active UC is the Company’s only clinical trial currently in progress in Ukraine. The Company has, however, terminated a few trial sites since the Russia/Ukraine war 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The Company is also evaluating the possibility to include a few Ukrainian sites in the western part of Ukraine in the ABTECT Phase 3 clinical trials.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Together with its CROs, the Company is making considerable efforts to ensure the follow-up of patients who are unable to come to the study centers.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Monitoring takes place through a remote monitoring system that was established and used successfully during the COVID-19 pandemic.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revised or amended Standards and Interpretations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applied the following amendments to IFRS that are effective as of December 31, 2022:</w:t>
      </w:r>
    </w:p>
    <w:p>
      <w:pPr>
        <w:spacing w:after="0" w:line="131" w:lineRule="exact"/>
        <w:rPr>
          <w:sz w:val="20"/>
          <w:szCs w:val="20"/>
          <w:color w:val="auto"/>
        </w:rPr>
      </w:pPr>
    </w:p>
    <w:p>
      <w:pPr>
        <w:ind w:left="1080" w:right="24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Amendment to IFRS 16 Leases—COVID-19-Related Rent Concessions beyond 30 June 2021, whose application is for annual reporting periods beginning on or after April 1, 2021;</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Amendments to IFRS 3 Business Combinations – Reference to the Conceptual Framework,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Amendments to IAS 16 – Property, Plant and Equipment – Proceeds before Intended Use,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Amendments to IAS 37 Provisions, Contingent Liabilities and Contingent Assets – Onerous Contracts – Cost of Fulfilling a Contract,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Annual Improvements to IFRS Standards 2018-2020 – Amendments to IFRS 1 First-time Adoption of International Financial Reporting Standards, IFRS 9 Financial Instruments, IFRS 16 Leases, and IAS 41 Agriculture, whose application is for annual reporting periods beginning on or after January 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standards, amendments and interpretations issued by IASB but not yet mandatory for financial years starting from January 1, 2022</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did not elect for early application of the following new standards, amendments and interpretations, which were issued but not mandatory as of December 31, 2022:</w:t>
      </w:r>
    </w:p>
    <w:p>
      <w:pPr>
        <w:spacing w:after="0" w:line="76" w:lineRule="exact"/>
        <w:rPr>
          <w:sz w:val="20"/>
          <w:szCs w:val="20"/>
          <w:color w:val="auto"/>
        </w:rPr>
      </w:pPr>
    </w:p>
    <w:p>
      <w:pPr>
        <w:ind w:left="1080" w:right="32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and IFRS Practice Statement 2 – Disclosure of Accounting Policies, whose application is for annual reporting periods beginning on or after January 1, 2024;</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Amendments to IAS 8 – Definition of Accounting Estimates, whose application is for annual reporting periods beginning on or after January 1, 2023;</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Amendments to IAS 12 – Deferred Tax related to Assets and Liabilities arising from a Single Transaction, whose application is for annual reporting periods beginning on or after January 1,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 Classification of Liabilities as Current or Non-current, whose application is for annual reporting periods beginning on or after January 1, 2024;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Amendments to IFRS 16 Leases: Lease Liability in a Sale and Leaseback, whose application is for annual reporting periods beginning on or after January 1, 2024 (not yet approved by the UE).</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Company assessed the impacts resulting from the application of these issued accounting pronouncements and concluded that impacts are not 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Significant events for the years ended December 31, 2021 and 2022 and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3.1. For the year ended December 31,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Share capital issuance and unsecured senior convertible bonds exchangeable for new or existing shares (or “OCEANE”) issuance—July 2021</w:t>
      </w:r>
    </w:p>
    <w:p>
      <w:pPr>
        <w:spacing w:after="0" w:line="1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received a gross proceed of €85.0 million on July 30, 2021 through (i) the issuance of 1,964,031 ordinary shares with a subscription price of €30.55 per share, and (ii) the issuance of €25,000 thousand in OCEANE, maturing on July 30, 2026. The proceeds of the transaction mainly serve to finance the progress of ABX464 clinical trials in chronic inflammatory. Note 15.3, “OCEANE”.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BPI subsidies – March 2021</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On March 5, 2021, the Company announced the interruption of the phase 2b/3 miR-AGE Covid-19 clinical trial due to lack of efficacy. As the Company terminated its financing agreement with Bpifrance in March 2021, Bpifrance made an additional payment of €3.3 million in October 2021 to reimburse additional expenses incurred by the Company and agreed to waive the conditional advance of €6.3 million. See Note 15.5, “Conditional Advances”.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3.2. For the year ended December 31,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 SARL – April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1, 2022, the Company acquired 100% of the share capital of Prosynergia SARL (or “Prosynergia”), a Luxembourg biotech company, in order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strengthen its portfolio. The terms of the share purchase acquisition (or the “Prosynergia SPA”) entered on November 15, 2021 included an early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 of €325 thousand made on November 25, 2021 (see Note 10), an additional payment of €2,925 thousand made on April 1, 2022, and possible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earn-out payments for a maximum additional amount of €4,000 thousand based on the potential evolution of the Company’s market capitalization,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listing of the Company’s shares on Nasdaq or a M&amp;A transaction incurred before March 31, 2023. In addition, the Company granted a loan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€1,400 thousand to Prosynergia on December 1, 2021, which term was at least on December 31, 2025 or at an earlier date in the event of a breach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Prosynergia SPA (see Note 10, “Other receivables and assets”). Such prepayment was repayable in cash only in the event the transaction is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completed.</w:t>
      </w:r>
    </w:p>
    <w:p>
      <w:pPr>
        <w:spacing w:after="0" w:line="211"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Considering that Prosynergia only owned patent rights but did not enter into any employee contract, research agreement, collaboration agreement or out-licensed agreement, it does not meet the definition of a business under IFRS 3. Consequently, the acquisition cost of this group of assets was allocated between the identifiable assets and liabilities acquired, pro rata to their respective fair values as of April 1, 2022, without recognition of goodwill. Also, the €1,400 thousand loan granted to Prosynergia in December 2021 was included in the acquisition cost to be allocated, as it is considered a prepayment for the acquisition of the group of assets.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with Prosynergia – December 2022</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December 12, 2022, the Company completed the merger with Prosynergia under the French legal procedure called “Transmission Universelle de Patrimoine</w:t>
      </w:r>
      <w:r>
        <w:rPr>
          <w:rFonts w:ascii="Arial" w:cs="Arial" w:eastAsia="Arial" w:hAnsi="Arial"/>
          <w:sz w:val="18"/>
          <w:szCs w:val="18"/>
          <w:i w:val="1"/>
          <w:iCs w:val="1"/>
          <w:color w:val="auto"/>
        </w:rPr>
        <w:t>”</w:t>
      </w:r>
      <w:r>
        <w:rPr>
          <w:rFonts w:ascii="Arial" w:cs="Arial" w:eastAsia="Arial" w:hAnsi="Arial"/>
          <w:sz w:val="18"/>
          <w:szCs w:val="18"/>
          <w:color w:val="auto"/>
        </w:rPr>
        <w:t xml:space="preserve"> (universal transfer of assets and liabilities). All of Prosynergia’s assets and liabilities were transferred to the Company and Prosynergia was dissolved.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ABX196 cash-generating unit</w:t>
      </w:r>
    </w:p>
    <w:p>
      <w:pPr>
        <w:spacing w:after="0" w:line="117"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In the first half of 2022, management took into account significant external changes in the hepatocellular carcinoma (HC) treatment landscape. These changes are expected to require a new, lengthy, heavy and risky internal development process (use of a combination of compounds). In this context, entering into a licensing partnership to fund the completion of the clinical development of ABX196 is the option being considered.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However, due to the lack of progress made in the negotiation of a development partnership, the Company made the decision to freeze the development program for ABX196 in the treatment of hepatocellular cancer. This decision led to the full impairment of the ABX196 goodwill, i.e. an impairment loss of €13,586 thousand related to Wittycell’s goodwill and €45 thousand related to licenses. As of December 31, 2022, the value in use and the fair value less costs to sell of the ABX196 cash-generating unit (“CGU”) are nil.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Forfeiture of AGA plans</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AGAs granted in September 2021 were subject to vesting conditions including the completion of a M&amp;A transaction on or prior to July 31, 2022. As the non-market performance vesting conditions were not satisfied, the Company recognized a reversal of related compensation expense of €1,026 thousand and accrual for social taxes of €205 thousand in the financial statements for the period ended December 31, 2022.</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Repayment of the advance made to Nice CHU – August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€4,000 thousand advance made to Nice CHU was reimbursed in August 2022 for an amount of €3,302 thousand. The remaining amount of</w:t>
      </w:r>
    </w:p>
    <w:p>
      <w:pPr>
        <w:spacing w:after="0" w:line="35"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€698 thousand was settled by way of compensation with a payable due to the Nice CHU related to the recharge of third-party services expenses that had been invoiced to the Nice CHU as part of the miR-AGE project (see Note 10, “Other receivables and assets”).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governance – August 2022</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August 16, 2022, the Company announced a transition in the chairmanship of its Board of Directors. Philippe Pouletty, the Company’s founder and Chairman of the Board of Directors since the Company was created in 2013, informed the Board of Directors of his decision to resign as Chairman with immediate effect. However, after many years of successfully leading the Board of Directors, Mr. Pouletty will continue to support the Company’s development as a member of the Board of Directors.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Pending the appointment of a new, permanent independent Chair, Ms. Corinna zur Bonsen-Thomas, an independent member of the Board of Directors of the Company, carried out the role of interim Chair (see Note 3.3. Subsequent events).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Company completed €49.2 million cross-over financing with top-tier US and European investors – September 2022</w:t>
      </w:r>
    </w:p>
    <w:p>
      <w:pPr>
        <w:spacing w:after="0" w:line="117"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On September 2, 2022, the Company announced oversubscribed financing of around €49.2 million, led by TCGX with the participation of Venrock Healthcare Capital Partners, Deep Track Capital, Sofinnova Partners, Invus and Truffle Capital, top-tier investors specializing in the biotechnology sector.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financing consists of two transactions:</w:t>
      </w:r>
    </w:p>
    <w:p>
      <w:pPr>
        <w:spacing w:after="0" w:line="131" w:lineRule="exact"/>
        <w:rPr>
          <w:sz w:val="20"/>
          <w:szCs w:val="20"/>
          <w:color w:val="auto"/>
        </w:rPr>
      </w:pPr>
    </w:p>
    <w:p>
      <w:pPr>
        <w:ind w:left="1080" w:right="60" w:hanging="424"/>
        <w:spacing w:after="0" w:line="308"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 reserved capital increase of a gross amount of approximately €46.2 million through the issuance of 5,530,000 new shares with a nominal value of €0.01 per share, representing 33% of its current share capital, at a subscription price of €8.36 per share; and</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issue of royalty certificates with a subscription price amounting to €2.9 million. The royalty certificates give right to their holders to royalties equal to 2% of the future net sales of obefazimod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(worldwide and for all indications) as from the commercialization of such product. The amount of royalties that may be paid under the royalty certificates is capped at €172 million.</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proceeds of the financing will primarily be used to fund the advancement of Phase 3 clinical trials for obefazimod in ulcerative colitis, expanding the Company’s cash runway to the end of Q1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€3.3 million and were deducted from the share premiums.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Royalty certificates are recorded as financial liabilities at amortized cost (see Note 15.8).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Company announces first US patient enrollment in global Phase 3 program with obefazimod in UC – October 2022</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On October 11, 2022, the Company announced that the first patient was enrolled in the US into its global Phase 3 clinical program with product candidate obefazimod for the treatment of moderately to severely active UC. IQVIA, a global premier contract research organization, is responsible for coordinating the Company’s Phase 3 clinical trial for obefazimod in UC. As of December 31, 2022, the undiscounted amount of the advance payments made by the Company in relation to the IQVIA agreement is €12,187 thousand. They were recorded at inception at their fair value (discounted amount) and subsequently measured at amortized cost calculated using the effective interest rate method. As of December 31, 2022, their carrying amount is €10,471 thousand. The repayment dates of these advances are scheduled between April 2025 and July 2026 (see Note 9).</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3.3. Subsequent events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i w:val="1"/>
          <w:iCs w:val="1"/>
          <w:color w:val="auto"/>
        </w:rPr>
        <w:t>The Company announces successful oversubscribed €130.0 million cross-over financing at market price with top-tier US and European Biotech investors – February 2023</w:t>
      </w:r>
    </w:p>
    <w:p>
      <w:pPr>
        <w:spacing w:after="0" w:line="6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On February 22, 2023, the Company announced the successful pricing of an oversubscribed €130.0 million financing with high-quality US and European biotech specialist investors, led by TCGX, with participation from existing investors Invus, Deep Track Capital, Sofinnova Partners, Venrock Healthcare Capital Partners, as well as from new investors Great Point Partners, LLC, Deerfield Management Company, Commodore Capital, Samsara BioCapital, Boxer Capital and others, by way of a reserved capital increase of €130 million through the issuance of 20,000,000 newly-issued ordinary shares with a nominal value of €0.01 per share, representing 89.6% of its current share capital, at a subscription price of €6.50 per share.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€6.7 million and were deducted from the share premiums.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governance and management – February-July 2023</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On April 5, 2023, the Company announced the appointment of Marc de Garidel as Chief Executive Officer (“CEO”) and Interim Board Chair, effective May 5, 2023. Corinna zur Bonsen-Thomas will step down as acting Chair, a position she has held since August 2022, and will remain a Board Member. Prof. Hartmut J. Ehrlich, M.D., will retire from the CEO position, which he has held since the Company’s founding in 2013, and will stay on as a strategic advisor until the transition is complete. The Company expects to appoint a long-term Board Chair in 2023.</w:t>
      </w:r>
    </w:p>
    <w:p>
      <w:pPr>
        <w:spacing w:after="0" w:line="17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On February 17, 2023, and April 18, 2023, the Company respectively announced the appointments of Dr. Sheldon Sloan, M.D., M. Bioethics as new Chief Medical Officer and Michael Ferguson as new Chief Commercial Officer.</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July 11, 2023, the Company announced the appointments of June Lee, M.D. and Troy Ignelzi as new independent members of the Company’s Board of Directors, replacing Joy Amundson and Jean-Jacques Bertrand.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Creation of Abivax LLC – March 2023</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March 25, 2023, Abivax LLC (or “the Subsidiary”), was incorporated as a Limited Liability Company under the laws of Delaware. As of the issuance of the financial statements, the Company has full ownership over the Subsidiary. The Subsidiary will host the Group’s operations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less exercise of the Kreos A&amp;B BSA – May 2023</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May 24, 2023, Kreos Capital V UK Ltd (or “Kreos”) opted for the cash less exercise option of the share warrants they held (as defined in Note 15.1), implemented through the repurchase by the Company of 43,070 tranche A share warrants (“Kreos A BSA”) and 43,070 tranche B share warrants (“Kreos B BSA”) and the issuance of respectively 67,887 and 31 696 ordinary shares, as a result of the exercise by Kreos of the oustanding Kreos A &amp; B BSA. The operation resulted in the derecognition of the derivative financial liabilities corresponding to the Kreos A &amp; B BSA, amounting to €424 thousand as of December 31, 2022, and in a capital increase including share premiums of €829 thousand.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Accounting principles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initial recognition, goodwill is stated at cost less any accumulated impairment losses (see Note 4.4).</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respect of business combinations prior to January 1, 2020, in accordance with IFRS 1 exemption, goodwill is included on the basis of its deemed cost, which represents the amount recorded under the prior basis of accounting, French GAAP, (“Previous GAAP”).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4.2. Intangible assets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Pursuant to IAS 38—</w:t>
      </w: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acquired are recognized as assets on the statements of financial position at their acquisition cost.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Payments for separately acquired research and development are capitalized within “Other intangible assets” provided that they meet the definition of an intangible asset: a resource that is (i) controlled by the Company, (ii) expected to provide future economic benefits for the Company and (iii) identifiable (i.e., it is either separable or arises from contractual or legal rights). In accordance with paragraph 25 of IAS 38—</w:t>
      </w:r>
      <w:r>
        <w:rPr>
          <w:rFonts w:ascii="Arial" w:cs="Arial" w:eastAsia="Arial" w:hAnsi="Arial"/>
          <w:sz w:val="17"/>
          <w:szCs w:val="17"/>
          <w:i w:val="1"/>
          <w:iCs w:val="1"/>
          <w:color w:val="auto"/>
        </w:rPr>
        <w:t>Intangible Assets</w:t>
      </w:r>
      <w:r>
        <w:rPr>
          <w:rFonts w:ascii="Arial" w:cs="Arial" w:eastAsia="Arial" w:hAnsi="Arial"/>
          <w:sz w:val="17"/>
          <w:szCs w:val="17"/>
          <w:color w:val="auto"/>
        </w:rPr>
        <w:t>, the recognition criterion relating to the likelihood of future economic benefits generated by the intangible asset, is presumed to be achieved for research and development activities when they are acquired separately. In this context, amounts paid to third parties in the form of initial payments or milestone payments relating to pharmaceutical specialties that have not yet obtained a marketing authorization are recognized as intangible assets. These rights will be amortized on a straight-line basis, after obtaining the marketing authorization, over their useful life. Unamortized rights (before marketing authorization) are subject to impairment tests in accordance with the method defined in Note 4.4.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Pursuant to IAS 38 – </w:t>
      </w:r>
      <w:r>
        <w:rPr>
          <w:rFonts w:ascii="Arial" w:cs="Arial" w:eastAsia="Arial" w:hAnsi="Arial"/>
          <w:sz w:val="18"/>
          <w:szCs w:val="18"/>
          <w:i w:val="1"/>
          <w:iCs w:val="1"/>
          <w:color w:val="auto"/>
        </w:rPr>
        <w:t>Intangible Assets</w:t>
      </w:r>
      <w:r>
        <w:rPr>
          <w:rFonts w:ascii="Arial" w:cs="Arial" w:eastAsia="Arial" w:hAnsi="Arial"/>
          <w:sz w:val="18"/>
          <w:szCs w:val="18"/>
          <w:color w:val="auto"/>
        </w:rPr>
        <w:t>, research costs are expensed in the period during which they are incurred. Development costs are only recognized as intangible assets if the following criteria are met:</w:t>
      </w:r>
    </w:p>
    <w:p>
      <w:pPr>
        <w:spacing w:after="0" w:line="76"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is technically feasible to complete the development of the project;</w:t>
      </w:r>
    </w:p>
    <w:p>
      <w:pPr>
        <w:spacing w:after="0" w:line="130" w:lineRule="exact"/>
        <w:rPr>
          <w:rFonts w:ascii="Arial" w:cs="Arial" w:eastAsia="Arial" w:hAnsi="Arial"/>
          <w:sz w:val="18"/>
          <w:szCs w:val="18"/>
          <w:color w:val="auto"/>
        </w:rPr>
      </w:pPr>
    </w:p>
    <w:p>
      <w:pPr>
        <w:ind w:left="5460" w:right="5080" w:hanging="4804"/>
        <w:spacing w:after="0" w:line="490" w:lineRule="auto"/>
        <w:tabs>
          <w:tab w:leader="none" w:pos="109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it is the Company’s intention to complete the project and to utilize it; F-14</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has capacity to utilize the intangible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there is proof of the probability of future economic benefits associated with the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there is availability of the technical, financial and other resources for completing the project;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there is a reliable evaluation of the development expenses.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initial measurement of the asset is the sum of expenses incurred starting on the date on which the development project meets the above criteria. Because of the risks and uncertainties related to regulatory authorizations and to the research and development process, the Company believes that the six criteria stipulated by IAS 38 have not been fulfilled to date and the application of this principle has resulted in all development costs being expensed as incurred in all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intangible assets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Other intangible assets mainly consist of acquired software. Costs related to the acquisition of software licenses are recognized as assets based on the costs incurred to acquire and set up the related software. Other intangible assets are amortized using the straight-line method over a period of one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4.3. Property, plant and equipment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Pursuant to IAS 16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property, plant and equipment are recognized at their acquisition cost (purchase price and directly attributable costs) or at their production cost by the Company, as applicable.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Property, plant and equipment are depreciated using the straight-line method over the estimated useful life of the asset. The principal useful lives applied are as follows: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rPr>
              <w:t>Buildings</w:t>
            </w:r>
          </w:p>
        </w:tc>
        <w:tc>
          <w:tcPr>
            <w:tcW w:w="2880" w:type="dxa"/>
            <w:vAlign w:val="bottom"/>
          </w:tcPr>
          <w:p>
            <w:pPr>
              <w:ind w:left="1180"/>
              <w:spacing w:after="0"/>
              <w:rPr>
                <w:sz w:val="20"/>
                <w:szCs w:val="20"/>
                <w:color w:val="auto"/>
              </w:rPr>
            </w:pPr>
            <w:r>
              <w:rPr>
                <w:rFonts w:ascii="Arial" w:cs="Arial" w:eastAsia="Arial" w:hAnsi="Arial"/>
                <w:sz w:val="14"/>
                <w:szCs w:val="14"/>
                <w:b w:val="1"/>
                <w:bCs w:val="1"/>
                <w:color w:val="auto"/>
              </w:rPr>
              <w:t>DEPRECIATION PERIOD</w:t>
            </w:r>
          </w:p>
        </w:tc>
        <w:tc>
          <w:tcPr>
            <w:tcW w:w="0" w:type="dxa"/>
            <w:vAlign w:val="bottom"/>
          </w:tcPr>
          <w:p>
            <w:pPr>
              <w:spacing w:after="0"/>
              <w:rPr>
                <w:sz w:val="1"/>
                <w:szCs w:val="1"/>
                <w:color w:val="auto"/>
              </w:rPr>
            </w:pPr>
          </w:p>
        </w:tc>
      </w:tr>
      <w:tr>
        <w:trPr>
          <w:trHeight w:val="187"/>
        </w:trPr>
        <w:tc>
          <w:tcPr>
            <w:tcW w:w="378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fixtures and fittings</w:t>
            </w:r>
          </w:p>
        </w:tc>
        <w:tc>
          <w:tcPr>
            <w:tcW w:w="2880" w:type="dxa"/>
            <w:vAlign w:val="bottom"/>
          </w:tcPr>
          <w:p>
            <w:pPr>
              <w:jc w:val="center"/>
              <w:ind w:left="1053"/>
              <w:spacing w:after="0" w:line="216" w:lineRule="exact"/>
              <w:rPr>
                <w:sz w:val="20"/>
                <w:szCs w:val="20"/>
                <w:color w:val="auto"/>
              </w:rPr>
            </w:pPr>
            <w:r>
              <w:rPr>
                <w:rFonts w:ascii="Arial" w:cs="Arial" w:eastAsia="Arial" w:hAnsi="Arial"/>
                <w:sz w:val="17"/>
                <w:szCs w:val="17"/>
                <w:color w:val="auto"/>
                <w:w w:val="91"/>
              </w:rPr>
              <w:t xml:space="preserve">        3 years </w:t>
            </w:r>
            <w:r>
              <w:rPr>
                <w:rFonts w:ascii="Arial" w:cs="Arial" w:eastAsia="Arial" w:hAnsi="Arial"/>
                <w:sz w:val="25"/>
                <w:szCs w:val="25"/>
                <w:color w:val="auto"/>
                <w:w w:val="91"/>
                <w:vertAlign w:val="superscript"/>
              </w:rPr>
              <w:t>(1)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i w:val="1"/>
                <w:iCs w:val="1"/>
                <w:color w:val="auto"/>
              </w:rPr>
              <w:t>Equipment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Industrial materials and equipment</w:t>
            </w:r>
          </w:p>
        </w:tc>
        <w:tc>
          <w:tcPr>
            <w:tcW w:w="2880" w:type="dxa"/>
            <w:vAlign w:val="bottom"/>
          </w:tcPr>
          <w:p>
            <w:pPr>
              <w:jc w:val="center"/>
              <w:ind w:left="1033"/>
              <w:spacing w:after="0"/>
              <w:rPr>
                <w:sz w:val="20"/>
                <w:szCs w:val="20"/>
                <w:color w:val="auto"/>
              </w:rPr>
            </w:pPr>
            <w:r>
              <w:rPr>
                <w:rFonts w:ascii="Arial" w:cs="Arial" w:eastAsia="Arial" w:hAnsi="Arial"/>
                <w:sz w:val="18"/>
                <w:szCs w:val="18"/>
                <w:color w:val="auto"/>
                <w:w w:val="88"/>
              </w:rPr>
              <w:t>5 to 10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Technical facilities</w:t>
            </w:r>
          </w:p>
        </w:tc>
        <w:tc>
          <w:tcPr>
            <w:tcW w:w="2880" w:type="dxa"/>
            <w:vAlign w:val="bottom"/>
          </w:tcPr>
          <w:p>
            <w:pPr>
              <w:jc w:val="center"/>
              <w:ind w:left="1033"/>
              <w:spacing w:after="0"/>
              <w:rPr>
                <w:sz w:val="20"/>
                <w:szCs w:val="20"/>
                <w:color w:val="auto"/>
              </w:rPr>
            </w:pPr>
            <w:r>
              <w:rPr>
                <w:rFonts w:ascii="Arial" w:cs="Arial" w:eastAsia="Arial" w:hAnsi="Arial"/>
                <w:sz w:val="18"/>
                <w:szCs w:val="18"/>
                <w:color w:val="auto"/>
                <w:w w:val="88"/>
              </w:rPr>
              <w:t>5 to 10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i w:val="1"/>
                <w:iCs w:val="1"/>
                <w:color w:val="auto"/>
              </w:rPr>
              <w:t>Furniture and computer equipment: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equipment</w:t>
            </w:r>
          </w:p>
        </w:tc>
        <w:tc>
          <w:tcPr>
            <w:tcW w:w="2880" w:type="dxa"/>
            <w:vAlign w:val="bottom"/>
          </w:tcPr>
          <w:p>
            <w:pPr>
              <w:jc w:val="center"/>
              <w:ind w:left="1033"/>
              <w:spacing w:after="0"/>
              <w:rPr>
                <w:sz w:val="20"/>
                <w:szCs w:val="20"/>
                <w:color w:val="auto"/>
              </w:rPr>
            </w:pPr>
            <w:r>
              <w:rPr>
                <w:rFonts w:ascii="Arial" w:cs="Arial" w:eastAsia="Arial" w:hAnsi="Arial"/>
                <w:sz w:val="18"/>
                <w:szCs w:val="18"/>
                <w:color w:val="auto"/>
                <w:w w:val="88"/>
              </w:rPr>
              <w:t>5 to 10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IT equipment</w:t>
            </w:r>
          </w:p>
        </w:tc>
        <w:tc>
          <w:tcPr>
            <w:tcW w:w="2880" w:type="dxa"/>
            <w:vAlign w:val="bottom"/>
          </w:tcPr>
          <w:p>
            <w:pPr>
              <w:jc w:val="center"/>
              <w:ind w:left="1033"/>
              <w:spacing w:after="0"/>
              <w:rPr>
                <w:sz w:val="20"/>
                <w:szCs w:val="20"/>
                <w:color w:val="auto"/>
              </w:rPr>
            </w:pPr>
            <w:r>
              <w:rPr>
                <w:rFonts w:ascii="Arial" w:cs="Arial" w:eastAsia="Arial" w:hAnsi="Arial"/>
                <w:sz w:val="18"/>
                <w:szCs w:val="18"/>
                <w:color w:val="auto"/>
                <w:w w:val="87"/>
              </w:rPr>
              <w:t>   </w:t>
            </w:r>
            <w:r>
              <w:rPr>
                <w:rFonts w:ascii="Arial" w:cs="Arial" w:eastAsia="Arial" w:hAnsi="Arial"/>
                <w:sz w:val="7"/>
                <w:szCs w:val="7"/>
                <w:color w:val="auto"/>
                <w:w w:val="87"/>
              </w:rPr>
              <w:t xml:space="preserve"> </w:t>
            </w:r>
            <w:r>
              <w:rPr>
                <w:rFonts w:ascii="Arial" w:cs="Arial" w:eastAsia="Arial" w:hAnsi="Arial"/>
                <w:sz w:val="18"/>
                <w:szCs w:val="18"/>
                <w:color w:val="auto"/>
                <w:w w:val="87"/>
              </w:rPr>
              <w:t>  3 years</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Furniture</w:t>
            </w:r>
          </w:p>
        </w:tc>
        <w:tc>
          <w:tcPr>
            <w:tcW w:w="2880" w:type="dxa"/>
            <w:vAlign w:val="bottom"/>
          </w:tcPr>
          <w:p>
            <w:pPr>
              <w:jc w:val="center"/>
              <w:ind w:left="1053"/>
              <w:spacing w:after="0"/>
              <w:rPr>
                <w:sz w:val="20"/>
                <w:szCs w:val="20"/>
                <w:color w:val="auto"/>
              </w:rPr>
            </w:pPr>
            <w:r>
              <w:rPr>
                <w:rFonts w:ascii="Arial" w:cs="Arial" w:eastAsia="Arial" w:hAnsi="Arial"/>
                <w:sz w:val="18"/>
                <w:szCs w:val="18"/>
                <w:color w:val="auto"/>
                <w:w w:val="87"/>
              </w:rPr>
              <w:t>    10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Office fixtures and fittings estimated useful lives correspond to the Headquarters residual estimated lease term.</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useful lives of property, plant and equipment as well as any residual values are reviewed at each year-end and, in the event of a significant change, the depreciation schedule is revised prospectively.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4.4. Impairment of goodwill, intangible assets, property and plant and equipment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and intangible assets not yet available for use are not amortized and are tested for impairment annually.</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 Company assesses at the end of each reporting period whether there is an indication that intangible assets and property, plant and equipment may be impaired. Pursuant to IAS 36—</w:t>
      </w:r>
      <w:r>
        <w:rPr>
          <w:rFonts w:ascii="Arial" w:cs="Arial" w:eastAsia="Arial" w:hAnsi="Arial"/>
          <w:sz w:val="18"/>
          <w:szCs w:val="18"/>
          <w:i w:val="1"/>
          <w:iCs w:val="1"/>
          <w:color w:val="auto"/>
        </w:rPr>
        <w:t>Impairment of Assets</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criteria for assessing indication of loss in value may notably include performance levels lower than forecast, a significant change in market data or the regulatory environment, or obsolescence or physical damage of the asset not included in the amortization/depreciation schedule.</w:t>
      </w:r>
    </w:p>
    <w:p>
      <w:pPr>
        <w:spacing w:after="0" w:line="14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For the purpose of impairment testing, goodwill and intangible assets not yet available for use are allocated to each of the Company’s CGUs expected to benefit from synergies arising from the business combination or from the use of the intangible assets.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 impairment loss is recognized when the carrying amount of a CGU, including the goodwill, exceeds the recoverable amount of the CGU. The recoverable amount of a CGU is the higher of the CGU’s fair value less cost to sell and value-in-use. The total impairment loss of a CGU is allocated first to reduce the carrying amount of goodwill allocated to the CGU and then to the other assets of the CGU pro-rata on the basis of the carrying amount of each asset in the CGU.</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 impairment loss on goodwill is not reversed in a subsequent period. Impairment losses on intangible assets and property, plant and equipment shall be reversed subsequently if the impairment loss no longer exists or has decreased.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4.5. 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assets at amortized cost</w:t>
      </w:r>
    </w:p>
    <w:p>
      <w:pPr>
        <w:spacing w:after="0" w:line="117"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Other financial assets (advances, loans and deposits granted to third parties) and other receivables are non-derivative financial assets with fixed or determinable payments that are not listed on an active market. They are initially recognized at fair value plus transaction costs that are directly attributable to the acquisition or issue of the financial asset.</w:t>
      </w:r>
    </w:p>
    <w:p>
      <w:pPr>
        <w:spacing w:after="0" w:line="7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 xml:space="preserve">IFRS 9 –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requires an entity to recognize a loss allowance for expected credit losses on a financial asset at amortized cost at each statement of financial position date. The amount of the loss allowance for expected credit losses equal to: (i) the 12—month expected credit losses or (ii) the full lifetime expected credit losses. The latter applies if credit risk has increased significantly since initial recognition of the financial instrument.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Company classifies investments as cash equivalents in the statements of financial position and statements of cash flows when they meet the conditions of IAS 7—</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i.e., when they are:</w:t>
      </w:r>
    </w:p>
    <w:p>
      <w:pPr>
        <w:spacing w:after="0" w:line="76" w:lineRule="exact"/>
        <w:rPr>
          <w:sz w:val="20"/>
          <w:szCs w:val="20"/>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held in order to face short-term cash commitments;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short term and highly liquid assets at acquisition date, readily convertible into known amount of cash and not exposed to any material risk of change in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4.6. Share capital</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Ordinary shares are classified in shareholders’ equity. Costs associated with the issuance of new shares are directly accounted for in shareholders’ equity in diminution of issuance premium.</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Company’s own shares bought in the context of a brokering/liquidity agreement entered with an independent broker are presented as a reduction of shareholders’ equity until their cancellation, their reissuance or their disposal.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4.7. Share-based payments</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Since its inception, the Company has established several plans for compensation settled in equity instruments in the form of founders’ share subscription warrants (“bons de souscription de parts de créateur d’entreprise” or “BCE”), share subscription warrants (“Bons de souscription d’actions,” or “BSA”) and free shares (“Attributions gratuites d’actions,” or “AGA”), granted to its employees, corporate officers and scientific consultants.</w:t>
      </w:r>
    </w:p>
    <w:p>
      <w:pPr>
        <w:spacing w:after="0" w:line="14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Pursuant to IFRS 2—</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these awards are measured at their fair value on the date of grant. The values of the equity instruments are determined using the option pricing model (in particular, a Black and Scholes model for the BCE and BSA plans and a Monte-Carlo simulation for the AGA plan) based on the value of the underlying equity instrument at grant date, the volatility observed in a sample of comparable listed companies and the estimated life of the related equity instruments.</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recognizes the fair value of these awards as a share-based compensation expense over the period in which the related services are received, i.e. over the vesting period, with a corresponding increase in shareholders’ equity. Share-based compensation is recognized by installments in consistency with their graded vesting schedule.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w:t>
      </w:r>
    </w:p>
    <w:p>
      <w:pPr>
        <w:spacing w:after="0" w:line="184"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For share-based payment awards with market vesting conditions, the grant-date fair value of the share-based payment is measured to reflect such conditions and there is no true-up for differences between expected and actual outcome. The measurement of the fair value of BSA, BCE and AGA incorporates the market-based vesting conditions as described in Note 4.16 “Use of estimates and judgments”.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4.8. Financial liabilities</w:t>
      </w:r>
    </w:p>
    <w:p>
      <w:pPr>
        <w:spacing w:after="0" w:line="117" w:lineRule="exact"/>
        <w:rPr>
          <w:sz w:val="20"/>
          <w:szCs w:val="20"/>
          <w:color w:val="auto"/>
        </w:rPr>
      </w:pPr>
    </w:p>
    <w:p>
      <w:pPr>
        <w:jc w:val="both"/>
        <w:ind w:left="120" w:right="460"/>
        <w:spacing w:after="0" w:line="342" w:lineRule="auto"/>
        <w:rPr>
          <w:sz w:val="20"/>
          <w:szCs w:val="20"/>
          <w:color w:val="auto"/>
        </w:rPr>
      </w:pPr>
      <w:r>
        <w:rPr>
          <w:rFonts w:ascii="Arial" w:cs="Arial" w:eastAsia="Arial" w:hAnsi="Arial"/>
          <w:sz w:val="16"/>
          <w:szCs w:val="16"/>
          <w:color w:val="auto"/>
        </w:rPr>
        <w:t xml:space="preserve">Pursuant to IFRS 9 –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borrowings and other financial liabilities (excluding derivative financial instruments) are measured at amortized cost. Financial liabilities that are due within one year are presented as current financial liabilities in the statements of financial position.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 at amortized cost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Borrowings and Other financial liabilities (conditional advances and royalty certificates), other than derivatives instruments, are initially recognized at fair value and subsequently measured at amortized cost calculated using the effective interest rate (“EIR”) method. The transaction costs that are directly attributable to the issue of the financial liability reduce that financial liability. These expenses are then amortized over the lifetime of the liability, on the basis of the EIR. The EIR is the rate that exactly discounts estimated future cash payments through the expected life of the financial liability to the amortized cost of a financial liability.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Royalty certificates meet the definition of financial liabilities. The Company concluded that they do not include embedded derivatives related to the variability of royalties that are based on future net sales. In addition, the Company concluded that the prepayment options were separate derivative instruments as their redemption price did not reimburse holders for an amount up to the approximate present value of lost interest for the remaining term of the host contracts. However, their value at inception and subsequent dates is nil and has no impact on the financial statements.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Royalty certificates are initially measured at fair value (refer to note 15.8 for valuation model applied). They are subsequently measured at amortized cost calculated using the EIR method. The EIR is calculated based on future cash flows, estimated on the basis of development and commercialization plans and budgets approved by the Board of Directors of the Company. If there is a change in the timing or amount of estimated cash flows, then the gross carrying amount of the amortized cost of the financial liability is adjusted in the period of change to reflect the revised actual and estimated cash flows, with a corresponding income or expense being recognized in profit or loss. The revised gross carrying amount of the amortized cost of the financial liability is calculated by discounting the future revised estimated cash flows at the original EIR.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Conditional advances and State guaranteed loan – “PGE”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treatment for conditional advances and PGE is set forth in Note 4.9.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treatment for lease liabilities is set forth in Note 4.12.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 measured at fair value through profit or loss</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BSA attached to Kreos 1 bonds, the conversion option of OCEANE and certain prepayment options of bonds are derivatives instruments. Derivatives are recognized initially at fair value at the date the derivative contract is entered into and are subsequently remeasured to their fair value at each reporting date. The resulting gain or loss from change in the fair value is recognized in profit or loss immediately, as financial expenses or income.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Hybrid instruments</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OCEANE bonds are hybrid instruments. A “hybrid contract” is a contract that includes both a non-derivative host contract and one or more embedded derivatives. Embedded derivatives are required to be separated from the host contract (bifurcated) if: the economic characteristics and risks of the embedded derivative are not closely related to those of the host, a separate instrument with the same terms as the embedded derivative would meet the definition of a derivative, and the hybrid contract is not measured at fair value through profit or loss.</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Separable embedded derivatives are required to be measured at fair value, with all changes in fair value recognized in profit or loss. The initial bifurcation of a separable embedded derivative does not result in any gain or loss being recognized. Because the embedded derivative component is measured at fair value on initial recognition, the carrying amount of the host contract on initial recognition is the difference between the carrying amount of the hybrid instrument and the fair value of the embedded derivative. If the fair values of the hybrid instrument and host contract are more reliably measurable than that of the derivative component - e.g. because of the availability of quoted market prices - then it may be acceptable to use those values to determine the fair value of the derivative on initial recognition indirectly - i.e. as a residual amount.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When measuring the fair value of an asset or a liability, the Company uses market observable data as far as possible. Fair values are categorized into different levels in a fair value hierarchy based on the inputs used in the valuation techniques as follows:</w:t>
      </w:r>
    </w:p>
    <w:p>
      <w:pPr>
        <w:spacing w:after="0" w:line="76" w:lineRule="exact"/>
        <w:rPr>
          <w:sz w:val="20"/>
          <w:szCs w:val="20"/>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level 1: fair value calculated using quoted prices in an active market for identical assets and liabilities;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level 2: fair value calculated using valuation techniques based on observable market data such as prices for assets and liabilities or similar parameters quoted in an active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level 3: fair value calculated using valuation techniques based in whole or in part on unobservable inputs such as prices in an inactive market or a valuation based on multiples of unlisted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12 Financial assets and liabilities, Note 15 Financial liabilities and Derivative instruments.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4.9. Research tax credit, subsidies and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Company benefits from the provisions of Articles 244c of the French General Tax Code relating to the French research tax credit (“</w:t>
      </w:r>
      <w:r>
        <w:rPr>
          <w:rFonts w:ascii="Arial" w:cs="Arial" w:eastAsia="Arial" w:hAnsi="Arial"/>
          <w:sz w:val="16"/>
          <w:szCs w:val="16"/>
          <w:i w:val="1"/>
          <w:iCs w:val="1"/>
          <w:color w:val="auto"/>
        </w:rPr>
        <w:t>Crédit d’Impôt</w:t>
      </w:r>
      <w:r>
        <w:rPr>
          <w:rFonts w:ascii="Arial" w:cs="Arial" w:eastAsia="Arial" w:hAnsi="Arial"/>
          <w:sz w:val="16"/>
          <w:szCs w:val="16"/>
          <w:color w:val="auto"/>
        </w:rPr>
        <w:t xml:space="preserve"> </w:t>
      </w:r>
      <w:r>
        <w:rPr>
          <w:rFonts w:ascii="Arial" w:cs="Arial" w:eastAsia="Arial" w:hAnsi="Arial"/>
          <w:sz w:val="16"/>
          <w:szCs w:val="16"/>
          <w:i w:val="1"/>
          <w:iCs w:val="1"/>
          <w:color w:val="auto"/>
        </w:rPr>
        <w:t>Recherche</w:t>
      </w:r>
      <w:r>
        <w:rPr>
          <w:rFonts w:ascii="Arial" w:cs="Arial" w:eastAsia="Arial" w:hAnsi="Arial"/>
          <w:sz w:val="16"/>
          <w:szCs w:val="16"/>
          <w:color w:val="auto"/>
        </w:rPr>
        <w:t>” or “CIR”). The CIR is granted to companies in order to encourage them to conduct technical and scientific research. Companies that prove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they have expenditures which meet the required criteria (research expenditures located in France or, since January 1, 2005, within the European Union or in another state that is a party to the Agreement on the European Economic Area and has concluded a tax treaty with France that contains an administrative assistance clause) receive a tax credit that can be used for the payment of the corporate tax due for the fiscal year in which the expenditures were made and the next three fiscal years, or as applicable, companies may receive cash reimbursement for any excess portion at the three-year period following the fiscal year of the expenditures. Only those companies meeting the EU definition of a small or medium-sized entity (“SME”) are eligible for payment in cash of their research tax credit (to the extent not used to offset corporate tax payables) in the year following the request for reimbursement. The expenditures taken into account for the calculation of the CIR involve only research expenses.</w:t>
      </w:r>
    </w:p>
    <w:p>
      <w:pPr>
        <w:spacing w:after="0" w:line="16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 xml:space="preserve">The CIR is presented under “Other operating income” in the statements of income (loss) as it is accounted for as a government grant as defined in IAS 20 – </w:t>
      </w:r>
      <w:r>
        <w:rPr>
          <w:rFonts w:ascii="Arial" w:cs="Arial" w:eastAsia="Arial" w:hAnsi="Arial"/>
          <w:sz w:val="18"/>
          <w:szCs w:val="18"/>
          <w:i w:val="1"/>
          <w:iCs w:val="1"/>
          <w:color w:val="auto"/>
        </w:rPr>
        <w:t>Accounting for Government Grants and Disclosure of Government Assistanc</w:t>
      </w:r>
      <w:r>
        <w:rPr>
          <w:rFonts w:ascii="Arial" w:cs="Arial" w:eastAsia="Arial" w:hAnsi="Arial"/>
          <w:sz w:val="18"/>
          <w:szCs w:val="18"/>
          <w:color w:val="auto"/>
        </w:rPr>
        <w:t>e, and as “Other receivables and related accounts” in the statement of financial position until its payment is received.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Subsidies are non-repayable grants received by the Company and recognized in the financial statements when there exists reasonable assurance that the Company will comply with the conditions attached to the subsidies and the subsidies will be received.</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Subsidies that are upfront payments are presented as deferred income and recognized through “Other operating income” for the amount of the expenses incurred as part of the research program to which the subsidy relates.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 subsidy that is to be received either as compensation for expenses or for losses already incurred, or for immediate financial support of the Company without associated future costs, is recognized in the Statements of income (loss) as “Other operating income” when there exists reasonable assurance that the subsidies will be received.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Conditional advances and PGE</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Company receives conditional advances to finance at below market interest rate research and development projects. Due to the innovative nature of its drug candidate development programs, the Company has benefited from certain sources of financial assistance from Bpifrance. Bpifrance provides financial assistance and support to emerging French enterprises to facilitate the development and commercialization of innovative technologies.</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Funds received from Bpifrance in the form of conditional advances are recognized as financial liabilities, as the Company has a contractual obligation to reimburse Bpifrance for such conditional advances in cash based on a repayment schedule. Each award of an advance is made to help fund a specific development milestone. More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details on conditional advances are provided in Note 15.5. Receipts or reimbursements of conditional advances are reflected as financing transactions in the statements of cash flows.</w:t>
      </w:r>
    </w:p>
    <w:p>
      <w:pPr>
        <w:spacing w:after="0" w:line="170"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difference between the present value of the advance at market rate (i.e., present value of contractual cash flows including principal and interest, discounted using a market rate as effective interest rate in accordance with IFRS 9) and the amount received as cash from the Bpifrance constitutes a subsidy within the meaning of IAS 20. Considering that these advances do not finance fixed assets, these subsidies are presented as “Deferred income” in the statement of financial position and recognized in the statement of net income (loss) as “Other operating income“ on a systematic basis over the periods in which the Company recognizes as expenses the related costs for which the grants are intended to compensate.</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incremental interest expense resulting from the difference between (a) the market interest rate and the (b) below-market rate is spread over the contractual period until the last repayment and recognized in the statement of income (loss) accordingly, using the EIR method. In the event of a change in estimate of contractual cash flows due under the conditional advances, the Company recalculates the book value of the debt resulting from the discounting of the anticipated new future cash flows at the initial EIR. The adjustment is recognized in the statements of income (loss) for the period during which the modification is recognized.</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the statements of financial position, these conditional advances are recorded in “Other financial liabilities” as current or non-current portion depending on their maturity. In the event Bpifrance waived the repayment of the advance, the corresponding liability is derecognized and treated as a subsidy in the statements of income (loss).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benefit resulting from the low interest of PGE loans is also recognized as a subsidy corresponding to the difference between the present value of the PGE at market rate and the amount received as cash. The accounting treatment is therefore similar to the above-mentioned accounting treatment for conditional advances. PGE are recorded in “Borrowings” as current or non-current portion depending on their maturity.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4.10. 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employees in France benefit from retirement benefits provided under French law, which consist in the following:</w:t>
      </w:r>
    </w:p>
    <w:p>
      <w:pPr>
        <w:spacing w:after="0" w:line="131" w:lineRule="exact"/>
        <w:rPr>
          <w:sz w:val="20"/>
          <w:szCs w:val="20"/>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compensation paid by the Company to employees upon their retirement (a defined benefit plan);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payments of retirement pensions by the social security agencies, which are financed by the contributions made by the Company and employees. As they meet the definition of a defined contribution plan, the liabilities are presented as Tax and employee-related payables in the statement of financial position.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In accordance with IAS 19 – </w:t>
      </w:r>
      <w:r>
        <w:rPr>
          <w:rFonts w:ascii="Arial" w:cs="Arial" w:eastAsia="Arial" w:hAnsi="Arial"/>
          <w:sz w:val="16"/>
          <w:szCs w:val="16"/>
          <w:i w:val="1"/>
          <w:iCs w:val="1"/>
          <w:color w:val="auto"/>
        </w:rPr>
        <w:t>Employee Benefits</w:t>
      </w:r>
      <w:r>
        <w:rPr>
          <w:rFonts w:ascii="Arial" w:cs="Arial" w:eastAsia="Arial" w:hAnsi="Arial"/>
          <w:sz w:val="16"/>
          <w:szCs w:val="16"/>
          <w:color w:val="auto"/>
        </w:rPr>
        <w:t>, the liability with respect to defined benefit plans is estimated by using the projected credit unit method. According to this method, the cost of the retirement benefit is recognized in the statements of income (loss). The retirement benefit commitments are valued at the current value of the estimated future payments, discounted using the market rate for high quality corporate bonds with a term and currency that correspond to that estimated for the payment of the benefits. The Company applied the decision of the IFRS IC, published on May 24, 2021, that concluded that, in the case that no rights were acquired in the event of departure before retirement age and that the rights were capped after a certain number of years of seniority (“30 years”), the commitment would only be recognized for the last 30 years of the employee’s career within the company.</w:t>
      </w:r>
    </w:p>
    <w:p>
      <w:pPr>
        <w:spacing w:after="0" w:line="16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difference between the amount of the provision at the beginning of a period and at the close of that period is recognized through operating expenses for the portion representing the costs of services rendered and financial expenses for the net interest costs, and through other comprehensive income (loss) for the portion representing the actuarial gains and losses due to changes in assumptions and experience adjustments.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9" w:right="49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4.11. Provisions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Provisions correspond to commitments resulting from litigation and various risks to which the Company may face in the context of its operations. In accordance with IAS 37 – </w:t>
      </w:r>
      <w:r>
        <w:rPr>
          <w:rFonts w:ascii="Arial" w:cs="Arial" w:eastAsia="Arial" w:hAnsi="Arial"/>
          <w:sz w:val="18"/>
          <w:szCs w:val="18"/>
          <w:i w:val="1"/>
          <w:iCs w:val="1"/>
          <w:color w:val="auto"/>
        </w:rPr>
        <w:t>Provisions, Contingent Liabilities and Contingent Assets,</w:t>
      </w:r>
      <w:r>
        <w:rPr>
          <w:rFonts w:ascii="Arial" w:cs="Arial" w:eastAsia="Arial" w:hAnsi="Arial"/>
          <w:sz w:val="18"/>
          <w:szCs w:val="18"/>
          <w:color w:val="auto"/>
        </w:rPr>
        <w:t xml:space="preserve"> a provision is recorded when the Company has an obligation to a third party resulting from a past event that will likely result in an outflow of resources to the third party, and for which future cash outflows may be estimated reliably. The amount recorded as a provision is an estimate of the expenditure required to settle the obligation, discounted where necessary at year end.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4.12. Leases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lessee, the Company assesses whether a contract contains a lease at inception of a contract and upon the modification of a contract. The Company elected to allocate the consideration in the contract to the lease and non-lease components on the basis of the relative standalone price. The Company recognizes a right-of-use asset and a corresponding lease liability for all arrangements in which it is a lessee, except for leases with a term of 12 months or less (short-term leases) and low-value leases (value of the underlying asset below €5.0 thousand). For these short-term and low-value leases, the Company recognizes the lease payments as an operating expense on a straight-line basis over the term of the lease.</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lease liability is initially measured at the present value of the future lease payments as from the commencement date of the lease to the end of the lease term. The lease terms used by the Company reflect the non-cancellable terms of each contract, plus any extension or termination options that the Company is reasonably certain to exercise or not exercise for all of the leases periods covered by the extension options. The lease payments are discounted using the interest rate implicit in the lease or, if not readily determinable, the Company incremental borrowing rate for the asset subject to the lease in the respective markets.</w:t>
      </w:r>
    </w:p>
    <w:p>
      <w:pPr>
        <w:spacing w:after="0" w:line="18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remeasures the lease liability (and makes a corresponding adjustment to the related right-of-use asset) whenever there is a change to the lease terms or expected payments under the lease, or a modification that is not accounted for as a separate lease. The portion of the lease payments attributable to the repayment of lease liabilities and the portion attributable to payment of interests are recognized in cash flows used in financing activities.</w:t>
      </w:r>
    </w:p>
    <w:p>
      <w:pPr>
        <w:spacing w:after="0" w:line="187"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Right-of-use assets are initially recognized on the balance sheet at cost, which comprises the amount of the initial measurement of the corresponding lease liability, adjusted for any lease payments made at or prior to the commencement date of the lease, any lease incentives received and any initial direct costs incurred by the Company, and expected costs for obligations to dismantle and remove right-of-use assets when they are no longer used.</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Right-of-use assets are depreciated on a straight-line basis from the commencement date of the lease over the shorter of the useful life of the right-of-use asset or the end of the lease term.</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Right-of-use assets are assessed for impairment whenever there is an indication that the balance sheet carrying amount may not be recoverable using cash flow projections.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4.13. Translation of transactions denominated in foreign currency</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 xml:space="preserve">Pursuant to IAS 21 – </w:t>
      </w:r>
      <w:r>
        <w:rPr>
          <w:rFonts w:ascii="Arial" w:cs="Arial" w:eastAsia="Arial" w:hAnsi="Arial"/>
          <w:sz w:val="18"/>
          <w:szCs w:val="18"/>
          <w:i w:val="1"/>
          <w:iCs w:val="1"/>
          <w:color w:val="auto"/>
        </w:rPr>
        <w:t>The Effects of Changes in Foreign Exchange Rates</w:t>
      </w:r>
      <w:r>
        <w:rPr>
          <w:rFonts w:ascii="Arial" w:cs="Arial" w:eastAsia="Arial" w:hAnsi="Arial"/>
          <w:sz w:val="18"/>
          <w:szCs w:val="18"/>
          <w:color w:val="auto"/>
        </w:rPr>
        <w:t>, transactions performed by the Company in currencies other than their functional currency, which is the Euro, are translated at the prevailing exchange rate on the transaction date.</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Trade receivables and payables and liabilities denominated in a currency other than the functional currency are translated at the period-end exchange rate. Unrealized gains and losses arising on translation are recognized in net financial income / (loss).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4.14. Current and deferred tax</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Tax assets and liabilities for the current and prior periods are measured at the amount expected to be recovered from or paid to the French tax authorities, using tax rates and tax laws enacted or substantively enacted at the end of the reporting period in accordance with IAS 12 – Income Tax.</w:t>
      </w:r>
    </w:p>
    <w:p>
      <w:pPr>
        <w:spacing w:after="0" w:line="12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income tax charge for the period comprises current tax due and the deferred tax charge. The tax expense is recognized in the statement of income (loss) unless it relates to items recorded in other comprehensive income (loss) or directly in equity, in which case the tax is also recorded in other comprehensive income (loss) or directly in equity.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taxes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current tax expense is calculated based on taxable profit for the period, using tax rates enacted or substantively enacted at the statement of financial position date. Considering the level of tax loss of the Company, no current tax expense is recognized.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Deferred taxes are recognized when there are temporary differences between the carrying amount of assets and liabilities in the Company’s financial statements and the corresponding tax basis used to calculate taxable profit. Deferred taxes are not recognized if they arise from the initial recognition of an asset or liability in a transaction other than a business combination which, at the time of the transaction, does not affect either the accounting or the taxable profit (tax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 assets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Deferred tax assets are recognized for all deductible temporary differences, unused tax losses and unused tax credits to the extent that it is probable that the temporary difference will reverse in the foreseeable future and that taxable profit will be available against which the deductible temporary difference, unused tax losses or unused tax credits can be utilized. See Note 4.16. Use of judgments and estimates and Note 22. Income tax.</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4.15. Accounting of Prosynergia acquisition</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From April 1, 2022 up until the merger completed on December 12, 2022, the Company owned a 100% ownership interest of Prosynergia and as such, controlled Prosynergia. The Company had power over Prosynergia, was exposed or had rights to variable returns from its involvement with the entity and had the ability to affect those returns through its power over the entity.</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financial statements of Prosynergia were therefore included in the consolidated financial statements of the Company from the date control was obtained, i.e. April 1, 2022. Prosynergia was merged into the Company in December 12, 2022.</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Considering that Prosynergia only owned patent rights but did not enter into any employee contract, research agreement, collaboration agreement or out-licensed agreement, it did not meet the definition of a business under IFRS 3. Consequently, the acquisition cost of this group of assets was allocated between the identifiable assets and liabilities acquired, pro rata to their respective fair values as of April 1, 2022, without recognition of goodwill. For this purpose, the following approach was applied: first measurement of any identifiable asset or liability initially measured at an amount other than cost in accordance with the applicable standards, deduction from the cost of the group of assets of the amounts allocated to these assets and liabilities, and then allocation of the residual cost of acquisition to the remaining identifiable assets and liabilities based on their relative fair values at the date of acquisition.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Also, the €1,400 thousand loan granted to Prosynergia in December 2021 was included in the acquisition cost to be allocated, since, in substance, it was considered as a prepayment for the acquisition of the group of assets, which is repayable in cash in the event of non-completion of the transaction.</w:t>
      </w:r>
    </w:p>
    <w:p>
      <w:pPr>
        <w:spacing w:after="0" w:line="12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potential earn-out payment to be paid in the first half of 2023 was measured at fair value on April 1, 2022, for an amount of €1,446 thousand, and included in the acquisition cost. This earn out is triggered in the event the Company’s market capitalization is in excess of €300 million (evaluated at certain specified record dates), a listing of the Company’s shares on Nasdaq or a merger and acquisition transaction prior to March 31, 2023. The amount of the earn-out is equal to 1% of the difference between the Company’s market capitalization and €300 million, subject to a maximum amount of €4.0 million. It is, as the case may be, payable in the first half of 2023. No amount will be payable in the event the Company’s market capitalization is lower than €300 million. The related financial liability is subsequently remeasured to its fair value at each reporting date. The gain or loss arising from the change in the fair value is recognized in profit of loss immediately. As of December 31, 2022, the fair value of the earn-out liability is nil (see Note 15.7). The remeasurement results in a financial income of €1,446 thousand over the year ended December 31, 2022.</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allocation of the acquisition cost is as follows: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 allocated as</w:t>
            </w:r>
          </w:p>
        </w:tc>
        <w:tc>
          <w:tcPr>
            <w:tcW w:w="0" w:type="dxa"/>
            <w:vAlign w:val="bottom"/>
          </w:tcPr>
          <w:p>
            <w:pPr>
              <w:spacing w:after="0"/>
              <w:rPr>
                <w:sz w:val="1"/>
                <w:szCs w:val="1"/>
                <w:color w:val="auto"/>
              </w:rPr>
            </w:pPr>
          </w:p>
        </w:tc>
      </w:tr>
      <w:tr>
        <w:trPr>
          <w:trHeight w:val="17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of April 1, 2022</w:t>
            </w:r>
          </w:p>
        </w:tc>
        <w:tc>
          <w:tcPr>
            <w:tcW w:w="0" w:type="dxa"/>
            <w:vAlign w:val="bottom"/>
          </w:tcPr>
          <w:p>
            <w:pPr>
              <w:spacing w:after="0"/>
              <w:rPr>
                <w:sz w:val="1"/>
                <w:szCs w:val="1"/>
                <w:color w:val="auto"/>
              </w:rPr>
            </w:pPr>
          </w:p>
        </w:tc>
      </w:tr>
      <w:tr>
        <w:trPr>
          <w:trHeight w:val="209"/>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prepayment made in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Loan granted to Prosynergia in 2021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payment made in 2022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Acquisition fees (1)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Earn-out measured at fair value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b w:val="1"/>
                <w:bCs w:val="1"/>
                <w:color w:val="auto"/>
              </w:rPr>
              <w:t>Total acquisition cost allocated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6,571</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Of which €451 thousand were disbursed in 2021 and €15 thousand in 2022. Acquired cash amounts to €41 thousand.</w:t>
      </w:r>
    </w:p>
    <w:p>
      <w:pPr>
        <w:spacing w:after="0" w:line="22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acquisition cost was mainly allocated to Prosynergia’s patents US 10,464,903 (filed on March 20, 2017 and granted on November 5, 2019), EP3 429 998 (filed on March 20, 2017 and granted on September 1, 2021) and continuation US 10,745,357 (filed on November 1, 2019 and granted on August 18, 2020). All patents will expire in 2037.</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These patents cover alternative synthesis process for obefazimod and a family of close chemical analogues. They also cover alternative forms of obefazimod (salts thereof and crystalline forms of said salts), the pharmaceutical composition comprising them, that could be of interest to the Company for future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4.16. Use of judgments and estimates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order to prepare financial statements in accordance with IFRS, estimates, judgments and assumptions were made by the Company’s management which could affect the reported amounts of assets, liabilities, contingent liabilities, income and expenses.</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These estimates are based on the assumption of going concern and are prepared in accordance with information available at the date the financial statements were prepared. They are reviewed on an ongoing basis using past experience and various other factors considered to be reasonable as the basis to measure the carrying amount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assets and liabilities. Estimates may be revised due to changes in the underlying circumstances or subsequent to new information. Actual results may differ significantly from these estimates in line with assumptions or different conditions.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This note provides an overview of the areas that involved a higher degree of judgement or complexity, and of items which are more likely to be materially adjusted due to changes in estimates and assumptions. Detailed information about each of these estimates and judgements is included in other notes together with information about the basis of calculation for each affected line item in the financial statements.</w:t>
      </w:r>
    </w:p>
    <w:p>
      <w:pPr>
        <w:spacing w:after="0" w:line="71" w:lineRule="exact"/>
        <w:rPr>
          <w:sz w:val="20"/>
          <w:szCs w:val="20"/>
          <w:color w:val="auto"/>
        </w:rPr>
      </w:pPr>
    </w:p>
    <w:p>
      <w:pPr>
        <w:ind w:left="1080" w:right="120" w:hanging="424"/>
        <w:spacing w:after="0" w:line="291"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recognition and measurement of impairment of CGUs. The main assumptions used for the impairment test include (a) the amount of cash flows that are set on the basis of the development and commercialization plans and budgets approved by Board of Directors,</w:t>
      </w:r>
    </w:p>
    <w:p>
      <w:pPr>
        <w:ind w:left="1080" w:right="560"/>
        <w:spacing w:after="0" w:line="255" w:lineRule="auto"/>
        <w:rPr>
          <w:rFonts w:ascii="Arial" w:cs="Arial" w:eastAsia="Arial" w:hAnsi="Arial"/>
          <w:sz w:val="16"/>
          <w:szCs w:val="16"/>
          <w:color w:val="auto"/>
        </w:rPr>
      </w:pPr>
      <w:r>
        <w:rPr>
          <w:rFonts w:ascii="Arial" w:cs="Arial" w:eastAsia="Arial" w:hAnsi="Arial"/>
          <w:sz w:val="18"/>
          <w:szCs w:val="18"/>
          <w:color w:val="auto"/>
        </w:rPr>
        <w:t>(b) assumptions related to the achievement of the clinical trials and the launch of the commercialization, (c) the discount rate, (d) assumptions on risk related to the development and (e) for the commercialization, selling price and volume of sales. The sensitivity analysis in respect of the recoverable amount of the CGUs is presented in Note 6.</w:t>
      </w:r>
    </w:p>
    <w:p>
      <w:pPr>
        <w:spacing w:after="0" w:line="95" w:lineRule="exact"/>
        <w:rPr>
          <w:rFonts w:ascii="Arial" w:cs="Arial" w:eastAsia="Arial" w:hAnsi="Arial"/>
          <w:sz w:val="16"/>
          <w:szCs w:val="16"/>
          <w:color w:val="auto"/>
        </w:rPr>
      </w:pPr>
    </w:p>
    <w:p>
      <w:pPr>
        <w:ind w:left="1080" w:right="320" w:hanging="424"/>
        <w:spacing w:after="0" w:line="259"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measurement of share-based compensation granted to employees, corporate officers and scientific consultants, such as BCE, BSA and AGA, which is based on actuarial models; these models require the use by the Company of certain calculation assumptions such as the estimated vesting, the occurrence dates of a change of control or a M&amp;A transaction dates, the expected volatility and maturity of the underlying equity instrument (see Note 4.7 and Note 14),</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fair value measurements at inception and after of derivative financial instruments resulting from (i) the warrants issued concomitantly with the issuance of the straight and convertible bonds to Kreos on July 24, 2018 (or “Kreos 1”), (ii) the prepayment option attached to the straight and convertible bonds issued to Kreos on October 2 2020 (or “Kreos 2”), and (iii) the prepayment option attached to the issuance of bond convertible into new or existing shares in July 30, 2021 (or “OCEANE”) (see Notes 15),</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fair value measurements of financial liabilities at inception (see Note 15),</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amortized cost measurement of royalty certificates, based on the following assumptions: (a) future cash flows, estimated on the basis of development and commercialization plans and budgets approved by the Board of Directors and (b) the discount rate. The sensitivity analysis in respect of the measurement of royalty certificates is presented in Note 15.</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fair value measurements of the call option resulting from the equity line contracts entered into on September 30, 2019 (or “Equity lines”) (see Note 13.2),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CIR based on internal and external expenses which meet the required criteria incurred by the Company during the year (see Note 4.9),</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recognition of deferred tax assets: availability of future taxable profit against which deductible temporary differences and tax losses carried forward can be utilized and whether sufficient evidence exists (see Note 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critical judgments made by the Company’s management impact the following item:</w:t>
      </w:r>
    </w:p>
    <w:p>
      <w:pPr>
        <w:spacing w:after="0" w:line="131" w:lineRule="exact"/>
        <w:rPr>
          <w:sz w:val="20"/>
          <w:szCs w:val="20"/>
          <w:color w:val="auto"/>
        </w:rPr>
      </w:pPr>
    </w:p>
    <w:p>
      <w:pPr>
        <w:ind w:left="1080" w:right="120" w:hanging="424"/>
        <w:spacing w:after="0" w:line="277"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occurrence dates of a change of control or a M&amp;A transaction dates used for the measurement of share-based compensation (see Note 4.7).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assessment of the Company’s performance and the decisions about resources to be allocated are made by the chief operating decision maker, based on the management reporting system of the Company.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identified the Chief Executive Officer of the Company as “Chief operating decision maker”. The Chief operating decision maker reviews on an aggregated basis the incurred expenses for allocating and evaluating performance of the Company.</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Company operates in a single operating segment: R&amp;D of pharmaceutical products in order to market them in the future. All operations, assets, liabilities and losses of the Company are located in France.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Goodwill and impairment test</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Goodwill relates to the acquisition of Splicos SAS and Wittycel SAS occurred in 2014 (i.e., prior the transition date to IFRS), which were merged into the Company in the same year.</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Goodwill from Splicos SAS and Wittycel SAS acquisition corresponds to the “Modulation of RNA biogenesis / splicing” technological platform and the “iNKT agonists” technological platform, respectively, from which derived the lead drug candidates of the Company: ABX464 and ABX196, respectively.</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IFRS 3 was not applied to acquisitions of subsidiaries deemed to be a business within the meaning of IFRS, carried out before the IFRS transition date, i.e., January 1 2020. Due to the application of this exemption, the previous accounting for business combinations in accordance with French GAAP remains unchanged (no identified Intellectual Property, Research &amp; Development (“IPR&amp;D”) assets are recognized in the statement of financial position).</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carrying amounts of the goodwill resulting from Splicos SAS and Wittycel SAS acquisitions were, as of December 31, 2021, €18,419 thousand and €13,586 thousand, respectively.</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accordance with IAS 36, goodwill is allocated to CGUs at a level corresponding to the lead drug candidates. Thus, goodwill from Splicos SAS and Wittycel SAS are allocated to ABX464 CGU and ABX196 CGU, respectively.</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Goodwill impairment tests are undertaken annually or more frequently if events or changes in circumstances indicate a potential impairment, in accordance with IAS 36. The carrying amount of goodwill is compared to the recoverable amount, which is the higher value in use and the fair value less costs to sell.</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2021 and 2022, the recoverable amount used for the impairment test of each CGU was the value in use. This value in use was based on a net present value calculation, using the following assumptions as of December 31, 2021 and 2022:</w:t>
      </w:r>
    </w:p>
    <w:p>
      <w:pPr>
        <w:spacing w:after="0" w:line="76" w:lineRule="exact"/>
        <w:rPr>
          <w:sz w:val="20"/>
          <w:szCs w:val="20"/>
          <w:color w:val="auto"/>
        </w:rPr>
      </w:pPr>
    </w:p>
    <w:p>
      <w:pPr>
        <w:ind w:left="1080" w:hanging="424"/>
        <w:spacing w:after="0"/>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Cash flows are set on the basis of the development and commercialization plans and budgets approved by Board of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discount rate (or “WACC”) of 14% as of December 31, 2022 and 13.5% as of December 31, 2021,</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risk of development is taken into consideration by applying probabilities of success (or “POS”) of reaching future phases of development to cash flows related to the commercialization phase. Those average probabilities of success of R&amp;D projects are based on public sources (INFORMA databases).</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the commercialization phase, selling price and sales volume are estimated on the basis of the potential market and the observed performances of comparable drugs currently on the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impairment tests resulted in no impairment charges as of December 31, 2021.</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the first half of 2022, management took into account significant external changes in the hepatocellular carcinoma (HC) treatment landscape. These changes were expected to require a new, lengthy, heavy and risky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internal development process (use of a combination of compounds). For this purpose, entering into a licensing partnership to fund the completion of the clinical development of ABX196 was being considered.</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a result of this change in circumstances, an impairment test of ABX196 CGU was performed in accordance with IAS 36, resulting into an impairment loss of €10,986 thousand of Wittycell’s goodwill, based on a fair value of €2,600 thousand, recorded in the interim financial statements as of June 30, 2022.</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December 31, 2022, due to the lack of progress made in the negotiation of a development partnership, the Company made the decision to freeze the development program for ABX196 in the treatment of hepatocellular cancer. In this context, the impairment test carried out as of December 31, 2022 resulted in the full impairment of the goodwill resulting from the acquisition of Wittycell SAS and other assets included in the ABX196 CGU, i.e. an impairment loss of €13,632 thousand as of December 31, 2022 (€13,586 thousand related to goodwill and €45 thousand related to other assets – see Note 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Sensitivity testing as of December 31, 2022 and December 31, 2021:</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has conducted an analysis of the sensitivity of the impairment tests to changes in the key assumptions used to determine the recoverable amount of the CGUs to which goodwill is allocated.</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Regarding ABX464, as the product is currently in development, a clinical trial failure or a failure to obtain a marketing approval could result in an impairment. The results of the impairment test indicate a headroom level that is high enough so that any reasonably possible change in any of the key assumptions (except clinical failure) would not lead to any impairment.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ABX196:</w:t>
      </w:r>
    </w:p>
    <w:p>
      <w:pPr>
        <w:spacing w:after="0" w:line="131" w:lineRule="exact"/>
        <w:rPr>
          <w:sz w:val="20"/>
          <w:szCs w:val="20"/>
          <w:color w:val="auto"/>
        </w:rPr>
      </w:pPr>
    </w:p>
    <w:p>
      <w:pPr>
        <w:ind w:left="1080" w:right="540" w:hanging="424"/>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of December 31, 2022, as above-mentioned, the net book value of the CGU was brought to zero after recording an impairment of €13,632 thousand.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of December 31, 2021, an increase in WACC of 3.7 percentage points, or a reduction in sales of 22%, or a reduction in POS per phase of 10%, would result in the recoverable value being equal to the net book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are mainly comprised of the intellectual property underlying:</w:t>
      </w:r>
    </w:p>
    <w:p>
      <w:pPr>
        <w:spacing w:after="0" w:line="131" w:lineRule="exact"/>
        <w:rPr>
          <w:sz w:val="20"/>
          <w:szCs w:val="20"/>
          <w:color w:val="auto"/>
        </w:rPr>
      </w:pPr>
    </w:p>
    <w:p>
      <w:pPr>
        <w:ind w:left="1080" w:right="20" w:hanging="532"/>
        <w:spacing w:after="0" w:line="259"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exclusive license agreement with the Scripps Research Institute, University of Chicago and Brigham Young University for which the Company paid a milestone of €45 thousand in September 2019 as a result of an IND filling of ABX196. The value in use and the fair value less costs to sell of the ABX196 CGU being nil as of December 31, 2022, a €45 thousand impairment was recorded during the period (see Note 6).</w:t>
      </w:r>
    </w:p>
    <w:p>
      <w:pPr>
        <w:spacing w:after="0" w:line="92"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collaboration and license agreement with the CNRS, Montpellier 2 university and the Curie for which the Company paid a milestone of €40 thousand in September 2019 as a result of the entry in phase 2 of ABX464.</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Patents acquired through the acquisition of Prosynergia of €6,529 thousand (cf. Note 4). The patents are not yet amortized, similarly to licenses.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Licenses and patents recognized as Intangible assets as of December 31, 2021 and 2022 are not amortized while they are not operating in a manner intended by the management. As a consequence, and in accordance with IAS 36, those assets were subject to an annual impairment test as of December 31, 2021 and 2022, which did not result in the need for an impairment to be recognized.</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8"/>
              </w:rPr>
              <w:t>SOFTWARES</w:t>
            </w:r>
          </w:p>
        </w:tc>
        <w:tc>
          <w:tcPr>
            <w:tcW w:w="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PATENTS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 2021</w:t>
            </w:r>
          </w:p>
        </w:tc>
        <w:tc>
          <w:tcPr>
            <w:tcW w:w="380" w:type="dxa"/>
            <w:vAlign w:val="bottom"/>
            <w:gridSpan w:val="2"/>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380"/>
              <w:spacing w:after="0"/>
              <w:rPr>
                <w:sz w:val="20"/>
                <w:szCs w:val="20"/>
                <w:color w:val="auto"/>
              </w:rPr>
            </w:pPr>
            <w:r>
              <w:rPr>
                <w:rFonts w:ascii="Arial" w:cs="Arial" w:eastAsia="Arial" w:hAnsi="Arial"/>
                <w:sz w:val="18"/>
                <w:szCs w:val="18"/>
                <w:b w:val="1"/>
                <w:bCs w:val="1"/>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Disposal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180" w:type="dxa"/>
            <w:vAlign w:val="bottom"/>
            <w:gridSpan w:val="4"/>
          </w:tcPr>
          <w:p>
            <w:pPr>
              <w:ind w:left="38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81"/>
              </w:rPr>
              <w:t>—  </w:t>
            </w: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3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260" w:type="dxa"/>
            <w:vAlign w:val="bottom"/>
            <w:tcBorders>
              <w:right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color w:val="auto"/>
              </w:rPr>
              <w:t>6,529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Disposal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180" w:type="dxa"/>
            <w:vAlign w:val="bottom"/>
            <w:gridSpan w:val="4"/>
          </w:tcPr>
          <w:p>
            <w:pPr>
              <w:ind w:left="38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79"/>
              </w:rPr>
              <w:t>120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8"/>
              </w:rPr>
              <w:t>6,529</w:t>
            </w:r>
          </w:p>
        </w:tc>
        <w:tc>
          <w:tcPr>
            <w:tcW w:w="5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3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LICENCES</w:t>
            </w:r>
          </w:p>
        </w:tc>
        <w:tc>
          <w:tcPr>
            <w:tcW w:w="1600" w:type="dxa"/>
            <w:vAlign w:val="bottom"/>
            <w:gridSpan w:val="6"/>
          </w:tcPr>
          <w:p>
            <w:pPr>
              <w:ind w:left="20"/>
              <w:spacing w:after="0"/>
              <w:rPr>
                <w:sz w:val="20"/>
                <w:szCs w:val="20"/>
                <w:color w:val="auto"/>
              </w:rPr>
            </w:pPr>
            <w:r>
              <w:rPr>
                <w:rFonts w:ascii="Arial" w:cs="Arial" w:eastAsia="Arial" w:hAnsi="Arial"/>
                <w:sz w:val="14"/>
                <w:szCs w:val="14"/>
                <w:b w:val="1"/>
                <w:bCs w:val="1"/>
                <w:color w:val="auto"/>
              </w:rPr>
              <w:t>SOFTWARES</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PATENTS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 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3"/>
              </w:rPr>
              <w:t>—  </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240"/>
              <w:spacing w:after="0"/>
              <w:rPr>
                <w:sz w:val="20"/>
                <w:szCs w:val="20"/>
                <w:color w:val="auto"/>
              </w:rPr>
            </w:pPr>
            <w:r>
              <w:rPr>
                <w:rFonts w:ascii="Arial" w:cs="Arial" w:eastAsia="Arial" w:hAnsi="Arial"/>
                <w:sz w:val="18"/>
                <w:szCs w:val="18"/>
                <w:b w:val="1"/>
                <w:bCs w:val="1"/>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color w:val="auto"/>
                <w:w w:val="93"/>
              </w:rPr>
              <w:t>—  </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Decrease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jc w:val="center"/>
              <w:ind w:right="500"/>
              <w:spacing w:after="0"/>
              <w:rPr>
                <w:sz w:val="20"/>
                <w:szCs w:val="20"/>
                <w:color w:val="auto"/>
              </w:rPr>
            </w:pPr>
            <w:r>
              <w:rPr>
                <w:rFonts w:ascii="Arial" w:cs="Arial" w:eastAsia="Arial" w:hAnsi="Arial"/>
                <w:sz w:val="18"/>
                <w:szCs w:val="18"/>
                <w:color w:val="auto"/>
                <w:w w:val="93"/>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ind w:left="3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180" w:type="dxa"/>
            <w:vAlign w:val="bottom"/>
            <w:gridSpan w:val="4"/>
          </w:tcPr>
          <w:p>
            <w:pPr>
              <w:ind w:left="24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3"/>
              </w:rPr>
              <w:t>—  </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—  </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Increase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740" w:type="dxa"/>
            <w:vAlign w:val="bottom"/>
            <w:gridSpan w:val="3"/>
          </w:tcPr>
          <w:p>
            <w:pPr>
              <w:jc w:val="center"/>
              <w:ind w:left="413"/>
              <w:spacing w:after="0"/>
              <w:rPr>
                <w:sz w:val="20"/>
                <w:szCs w:val="20"/>
                <w:color w:val="auto"/>
              </w:rPr>
            </w:pPr>
            <w:r>
              <w:rPr>
                <w:rFonts w:ascii="Arial" w:cs="Arial" w:eastAsia="Arial" w:hAnsi="Arial"/>
                <w:sz w:val="18"/>
                <w:szCs w:val="18"/>
                <w:color w:val="auto"/>
                <w:w w:val="74"/>
              </w:rPr>
              <w:t>(45)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24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color w:val="auto"/>
                <w:w w:val="93"/>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740" w:type="dxa"/>
            <w:vAlign w:val="bottom"/>
            <w:tcBorders>
              <w:top w:val="single" w:sz="8" w:color="auto"/>
            </w:tcBorders>
            <w:gridSpan w:val="3"/>
          </w:tcPr>
          <w:p>
            <w:pPr>
              <w:jc w:val="center"/>
              <w:ind w:left="413"/>
              <w:spacing w:after="0"/>
              <w:rPr>
                <w:sz w:val="20"/>
                <w:szCs w:val="20"/>
                <w:color w:val="auto"/>
              </w:rPr>
            </w:pPr>
            <w:r>
              <w:rPr>
                <w:rFonts w:ascii="Arial" w:cs="Arial" w:eastAsia="Arial" w:hAnsi="Arial"/>
                <w:sz w:val="18"/>
                <w:szCs w:val="18"/>
                <w:b w:val="1"/>
                <w:bCs w:val="1"/>
                <w:color w:val="auto"/>
                <w:w w:val="74"/>
              </w:rPr>
              <w:t>(45)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w w:val="81"/>
              </w:rPr>
              <w:t>—  </w:t>
            </w:r>
          </w:p>
        </w:tc>
        <w:tc>
          <w:tcPr>
            <w:tcW w:w="6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40" w:type="dxa"/>
            <w:vAlign w:val="bottom"/>
          </w:tcPr>
          <w:p>
            <w:pPr>
              <w:spacing w:after="0"/>
              <w:rPr>
                <w:sz w:val="24"/>
                <w:szCs w:val="24"/>
                <w:color w:val="auto"/>
              </w:rPr>
            </w:pPr>
          </w:p>
        </w:tc>
        <w:tc>
          <w:tcPr>
            <w:tcW w:w="1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SOFTWARES</w:t>
            </w:r>
          </w:p>
        </w:tc>
        <w:tc>
          <w:tcPr>
            <w:tcW w:w="1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PATENTS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As of January 1, 2021</w:t>
            </w:r>
          </w:p>
        </w:tc>
        <w:tc>
          <w:tcPr>
            <w:tcW w:w="1120" w:type="dxa"/>
            <w:vAlign w:val="bottom"/>
            <w:gridSpan w:val="5"/>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3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1120" w:type="dxa"/>
            <w:vAlign w:val="bottom"/>
            <w:gridSpan w:val="5"/>
          </w:tcPr>
          <w:p>
            <w:pPr>
              <w:jc w:val="right"/>
              <w:ind w:right="2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6,529</w:t>
            </w:r>
          </w:p>
        </w:tc>
        <w:tc>
          <w:tcPr>
            <w:tcW w:w="5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Property, plant and equipment</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tables present movements in property, plant and equipment including the right of use of assets (or “ROU”) as of December 31, 2021 and 2022:</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FURNITURE</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AND</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BUILDINGS</w:t>
            </w: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COMPUTER</w:t>
            </w: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2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EQUIPMENT</w:t>
            </w:r>
          </w:p>
        </w:tc>
        <w:tc>
          <w:tcPr>
            <w:tcW w:w="980" w:type="dxa"/>
            <w:vAlign w:val="bottom"/>
            <w:gridSpan w:val="2"/>
            <w:vMerge w:val="continue"/>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1st, 2021</w:t>
            </w:r>
          </w:p>
        </w:tc>
        <w:tc>
          <w:tcPr>
            <w:tcW w:w="1280" w:type="dxa"/>
            <w:vAlign w:val="bottom"/>
            <w:gridSpan w:val="2"/>
          </w:tcPr>
          <w:p>
            <w:pPr>
              <w:ind w:left="540"/>
              <w:spacing w:after="0"/>
              <w:rPr>
                <w:sz w:val="20"/>
                <w:szCs w:val="20"/>
                <w:color w:val="auto"/>
              </w:rPr>
            </w:pPr>
            <w:r>
              <w:rPr>
                <w:rFonts w:ascii="Arial" w:cs="Arial" w:eastAsia="Arial" w:hAnsi="Arial"/>
                <w:sz w:val="18"/>
                <w:szCs w:val="18"/>
                <w:b w:val="1"/>
                <w:bCs w:val="1"/>
                <w:color w:val="auto"/>
              </w:rPr>
              <w:t>593</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447</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194</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1,234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636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Disposal</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593</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402</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235</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1,230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682</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Acquisition</w:t>
            </w:r>
          </w:p>
        </w:tc>
        <w:tc>
          <w:tcPr>
            <w:tcW w:w="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4"/>
              </w:rPr>
              <w:t>1,618</w:t>
            </w:r>
          </w:p>
        </w:tc>
        <w:tc>
          <w:tcPr>
            <w:tcW w:w="4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4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1,472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(593)</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(593)</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84"/>
              </w:rPr>
              <w:t>1,618</w:t>
            </w: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1,561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60" w:type="dxa"/>
            <w:vAlign w:val="bottom"/>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F-27</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FURNITURE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rPr>
              <w:t>AND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BUILDINGS</w:t>
            </w:r>
          </w:p>
        </w:tc>
        <w:tc>
          <w:tcPr>
            <w:tcW w:w="146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EQUIPMENT</w:t>
            </w:r>
          </w:p>
        </w:tc>
        <w:tc>
          <w:tcPr>
            <w:tcW w:w="154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rPr>
              <w:t>COMPUTER</w:t>
            </w:r>
          </w:p>
        </w:tc>
        <w:tc>
          <w:tcPr>
            <w:tcW w:w="10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3"/>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400" w:type="dxa"/>
            <w:vAlign w:val="bottom"/>
            <w:gridSpan w:val="4"/>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5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EQUIPMENT</w:t>
            </w:r>
          </w:p>
        </w:tc>
        <w:tc>
          <w:tcPr>
            <w:tcW w:w="1080" w:type="dxa"/>
            <w:vAlign w:val="bottom"/>
            <w:gridSpan w:val="3"/>
            <w:vMerge w:val="continue"/>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1st, 2021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(222)</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(368)</w:t>
            </w:r>
          </w:p>
        </w:tc>
        <w:tc>
          <w:tcPr>
            <w:tcW w:w="4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(151)</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(741)</w:t>
            </w:r>
          </w:p>
        </w:tc>
        <w:tc>
          <w:tcPr>
            <w:tcW w:w="5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b w:val="1"/>
                <w:bCs w:val="1"/>
                <w:i w:val="1"/>
                <w:iCs w:val="1"/>
                <w:color w:val="auto"/>
              </w:rPr>
              <w:t>(243)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(244)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Decrease</w:t>
            </w:r>
          </w:p>
        </w:tc>
        <w:tc>
          <w:tcPr>
            <w:tcW w:w="12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(445)</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(346)</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w:t>
            </w: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5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(470)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Increase</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5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2022</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(808)</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FURNITURE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rPr>
              <w:t>AND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BUILDINGS</w:t>
            </w:r>
          </w:p>
        </w:tc>
        <w:tc>
          <w:tcPr>
            <w:tcW w:w="100" w:type="dxa"/>
            <w:vAlign w:val="bottom"/>
          </w:tcPr>
          <w:p>
            <w:pPr>
              <w:spacing w:after="0"/>
              <w:rPr>
                <w:sz w:val="12"/>
                <w:szCs w:val="12"/>
                <w:color w:val="auto"/>
              </w:rPr>
            </w:pPr>
          </w:p>
        </w:tc>
        <w:tc>
          <w:tcPr>
            <w:tcW w:w="13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14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rPr>
              <w:t>COMPUTER</w:t>
            </w:r>
          </w:p>
        </w:tc>
        <w:tc>
          <w:tcPr>
            <w:tcW w:w="10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EQUIPMENT</w:t>
            </w:r>
          </w:p>
        </w:tc>
        <w:tc>
          <w:tcPr>
            <w:tcW w:w="1080" w:type="dxa"/>
            <w:vAlign w:val="bottom"/>
            <w:gridSpan w:val="3"/>
            <w:vMerge w:val="continue"/>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January 1st, 2021</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371</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rPr>
              <w:t>79</w:t>
            </w:r>
          </w:p>
        </w:tc>
        <w:tc>
          <w:tcPr>
            <w:tcW w:w="1540" w:type="dxa"/>
            <w:vAlign w:val="bottom"/>
            <w:gridSpan w:val="4"/>
          </w:tcPr>
          <w:p>
            <w:pPr>
              <w:jc w:val="right"/>
              <w:ind w:right="560"/>
              <w:spacing w:after="0"/>
              <w:rPr>
                <w:sz w:val="20"/>
                <w:szCs w:val="20"/>
                <w:color w:val="auto"/>
              </w:rPr>
            </w:pPr>
            <w:r>
              <w:rPr>
                <w:rFonts w:ascii="Arial" w:cs="Arial" w:eastAsia="Arial" w:hAnsi="Arial"/>
                <w:sz w:val="18"/>
                <w:szCs w:val="18"/>
                <w:color w:val="auto"/>
              </w:rPr>
              <w:t>44</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493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394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148</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1540" w:type="dxa"/>
            <w:vAlign w:val="bottom"/>
            <w:tcBorders>
              <w:right w:val="single" w:sz="8" w:color="CCEEFF"/>
            </w:tcBorders>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101</w:t>
            </w:r>
          </w:p>
        </w:tc>
        <w:tc>
          <w:tcPr>
            <w:tcW w:w="10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212</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1,359</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rPr>
              <w:t>60</w:t>
            </w:r>
          </w:p>
        </w:tc>
        <w:tc>
          <w:tcPr>
            <w:tcW w:w="1540" w:type="dxa"/>
            <w:vAlign w:val="bottom"/>
            <w:gridSpan w:val="4"/>
          </w:tcPr>
          <w:p>
            <w:pPr>
              <w:jc w:val="right"/>
              <w:ind w:right="560"/>
              <w:spacing w:after="0"/>
              <w:rPr>
                <w:sz w:val="20"/>
                <w:szCs w:val="20"/>
                <w:color w:val="auto"/>
              </w:rPr>
            </w:pPr>
            <w:r>
              <w:rPr>
                <w:rFonts w:ascii="Arial" w:cs="Arial" w:eastAsia="Arial" w:hAnsi="Arial"/>
                <w:sz w:val="18"/>
                <w:szCs w:val="18"/>
                <w:color w:val="auto"/>
              </w:rPr>
              <w:t>173</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1,592</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1,270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Right of use assets relate to buildings, vehicles and furniture. The net book value of right of use assets related to buildings amounted to €147 thousand and €1,224 thousand as of December 31, 2021 and 2022, respectively. Acquisitions over the year ended December 31, 2022 mainly include the right of use asset related to the new Headquarters entered into in July 2022 (see Note 15.6), as well as office fittings and IT equipment. Disposals over the period mainly include the right of use assets related to the former headquarters.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Other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assets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3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ASSETS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Advances related to CRO contracts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10,471</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Deposits paid under the liquidity agreement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Deposits paid on Kreos 1 and 2 bond loans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Deposit paid under the Headquarters lease agreement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7"/>
        </w:trPr>
        <w:tc>
          <w:tcPr>
            <w:tcW w:w="9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11,708</w:t>
            </w:r>
          </w:p>
        </w:tc>
      </w:tr>
      <w:tr>
        <w:trPr>
          <w:trHeight w:val="20"/>
        </w:trPr>
        <w:tc>
          <w:tcPr>
            <w:tcW w:w="9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Advances related to CRO contracts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Advances amounting to €12,187 thousand were made during the year ended December 31, 2022. These advances are related to CRO/CMO contracts for clinical studies and are to be recovered at the end of the studies after final reconciliation with pass-through costs, which are being invoiced and paid as studies are carried out. These long-term advances were measured at fair value on initial recognition, using discount rates ranging from 0.19% to 7.16%, and are subsequently measured at amortized cost.</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At inception, a prepaid expenses asset was recognized for the difference between the advances’ nominal value and fair value, and spread over the term of the advances, at the rate of recognition of the related R&amp;D expenses (see Note 10).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Other receivables and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receivables and related accounts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RECEIVABLES AND ASSETS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Prepaid expenses - non current</w:t>
            </w:r>
          </w:p>
        </w:tc>
        <w:tc>
          <w:tcPr>
            <w:tcW w:w="940" w:type="dxa"/>
            <w:vAlign w:val="bottom"/>
            <w:gridSpan w:val="4"/>
          </w:tcPr>
          <w:p>
            <w:pPr>
              <w:ind w:left="3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other receivables and assets</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Research tax credit (“CIR”)</w:t>
            </w: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Advance made to the Nice CHU</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 for the acquisition of Prosynergia</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Prepaid expenses - current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Credit notes</w:t>
            </w:r>
          </w:p>
        </w:tc>
        <w:tc>
          <w:tcPr>
            <w:tcW w:w="9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other receivables and assets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Total other receivables and assets</w:t>
            </w: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CIR is recognized as Other Operating Income (see note 4.9) in the year to which the eligible research expense relates. The Company received the payment of the CIR for 2021 tax year in the amount of €4,204 thousand in 2022 and expects to receive the CIR for 2022 tax year of €4,448 thousand in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VAT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Value-added tax (“VAT”) receivables relate primarily to the deductible VAT and VAT refunds claimed.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to be received</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January 20, 2021, the Company amended the research agreement entered with the University Hospital Center of Nice (or “Nice CHU”) on September 25, 2020, which consisted in the conduct of a study to test whether ABX464 could prevent the development of severe Covid-19 disease in the participants. The Company agreed to advance amount of €4,000 thousand to Nice CHU corresponding to the expenses recharged by its third parties for the year ended December 31, 2021. An amount of €3,302 thousand was reimbursed in August 2022. The remaining €698 thousand amount was settled by way of compensation with a payable due to the Nice CHU related to the recharge of third-party services expenses.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payment for the acquisition of Prosynergia</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context of the acquisition of Prosynergia, the Company made an initial payment of the acquisition price of €325 thousand on November 25, 2021 (see Note 3.3).</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December 1, 2021, the Company signed a loan agreement with Prosynergia for €1,400 thousand. Prosynergia committed to reimburse the loan at the end of the contract, on December 31, 2025. The purpose of the loan was to allow early repayment by Prosynergia of all its existing indebtedness and was a suspensive condition for the acquisition of Prosynergia shares provided by the Share purchase agreement entered with the shareholder of Prosynergia on November 15, 2021. For accounting purposes, this loan was considered as a prepayment for the acquisition of the group of assets, which was repayable in cash only in the event the acquisition is not completed.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2022, there is no more loan recognized following the merger of the Company and Prosynergia on December 12, 2022.</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Prepaid expenses</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Prepaid expenses as of December 31, 2021 include costs related to the acquisition of Prosynergia for €451 thousand. During the year ended December 31, 2022, these costs were then included in the acquisition price of Prosynergia which was allocated to acquired patents (see Notes 3.3 and 4.15).</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Prepaid expenses as of December 31, 2022 include prepaid expenses related to CRO contracts for amount of €1,714 thousand (see Note 9).</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break down as follows: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Cash equivalents (short-term investments)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(bank accounts)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60,695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26,944</w:t>
            </w: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60,701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26,950</w:t>
            </w:r>
          </w:p>
        </w:tc>
        <w:tc>
          <w:tcPr>
            <w:tcW w:w="60" w:type="dxa"/>
            <w:vAlign w:val="bottom"/>
          </w:tcPr>
          <w:p>
            <w:pPr>
              <w:spacing w:after="0"/>
              <w:rPr>
                <w:sz w:val="19"/>
                <w:szCs w:val="19"/>
                <w:color w:val="auto"/>
              </w:rPr>
            </w:pPr>
          </w:p>
        </w:tc>
      </w:tr>
    </w:tbl>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Financial assets and liabilities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following table shows the carrying amounts and fair values of financial assets and financial liabilities, including their levels in the fair value hierarchy.</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1660" w:type="dxa"/>
            <w:vAlign w:val="bottom"/>
            <w:gridSpan w:val="3"/>
            <w:vMerge w:val="restart"/>
          </w:tcPr>
          <w:p>
            <w:pPr>
              <w:jc w:val="center"/>
              <w:ind w:right="640"/>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3"/>
              </w:rPr>
              <w:t>AS OF DECEMBER 31, 2021</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6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rPr>
              <w:t>RECOGNIZED IN</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w w:val="97"/>
              </w:rPr>
              <w:t>ASSETS/ LIABILITIES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6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w w:val="95"/>
              </w:rPr>
              <w:t>THE STATEMENT</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93"/>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6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rPr>
              <w:t>OF FINANCIAL</w:t>
            </w:r>
          </w:p>
        </w:tc>
        <w:tc>
          <w:tcPr>
            <w:tcW w:w="108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w w:val="98"/>
              </w:rPr>
              <w:t>FAIR</w:t>
            </w:r>
          </w:p>
        </w:tc>
        <w:tc>
          <w:tcPr>
            <w:tcW w:w="220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rPr>
              <w:t>THROUGH PROFIT</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166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9"/>
              </w:rPr>
              <w:t>POSITION</w:t>
            </w:r>
          </w:p>
        </w:tc>
        <w:tc>
          <w:tcPr>
            <w:tcW w:w="108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5"/>
              </w:rPr>
              <w:t>VALUE</w:t>
            </w:r>
          </w:p>
        </w:tc>
        <w:tc>
          <w:tcPr>
            <w:tcW w:w="220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2"/>
              </w:rPr>
              <w:t>AND LOSS</w:t>
            </w:r>
          </w:p>
        </w:tc>
        <w:tc>
          <w:tcPr>
            <w:tcW w:w="140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9"/>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5"/>
                <w:szCs w:val="15"/>
                <w:color w:val="auto"/>
                <w:w w:val="71"/>
              </w:rPr>
              <w:t>—   </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6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4"/>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14,784</w:t>
            </w:r>
          </w:p>
        </w:tc>
        <w:tc>
          <w:tcPr>
            <w:tcW w:w="5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14,784</w:t>
            </w:r>
          </w:p>
        </w:tc>
        <w:tc>
          <w:tcPr>
            <w:tcW w:w="580" w:type="dxa"/>
            <w:vAlign w:val="bottom"/>
          </w:tcPr>
          <w:p>
            <w:pPr>
              <w:spacing w:after="0"/>
              <w:rPr>
                <w:sz w:val="17"/>
                <w:szCs w:val="17"/>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14,784</w:t>
            </w:r>
          </w:p>
        </w:tc>
        <w:tc>
          <w:tcPr>
            <w:tcW w:w="6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3"/>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60,701</w:t>
            </w:r>
          </w:p>
        </w:tc>
        <w:tc>
          <w:tcPr>
            <w:tcW w:w="5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60,701</w:t>
            </w:r>
          </w:p>
        </w:tc>
        <w:tc>
          <w:tcPr>
            <w:tcW w:w="580" w:type="dxa"/>
            <w:vAlign w:val="bottom"/>
            <w:tcBorders>
              <w:right w:val="single" w:sz="8" w:color="CCEEFF"/>
            </w:tcBorders>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60,701</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76,827</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76,827</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b w:val="1"/>
                <w:bCs w:val="1"/>
                <w:color w:val="auto"/>
                <w:w w:val="77"/>
              </w:rPr>
              <w:t>—  </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76,827</w:t>
            </w:r>
          </w:p>
        </w:tc>
        <w:tc>
          <w:tcPr>
            <w:tcW w:w="600" w:type="dxa"/>
            <w:vAlign w:val="bottom"/>
          </w:tcPr>
          <w:p>
            <w:pPr>
              <w:spacing w:after="0"/>
              <w:rPr>
                <w:sz w:val="17"/>
                <w:szCs w:val="17"/>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b w:val="1"/>
                <w:bCs w:val="1"/>
                <w:color w:val="auto"/>
                <w:w w:val="84"/>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liabilities—non-current portion</w:t>
            </w: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 Note 15)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50,240</w:t>
            </w:r>
          </w:p>
        </w:tc>
        <w:tc>
          <w:tcPr>
            <w:tcW w:w="5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52,589</w:t>
            </w:r>
          </w:p>
        </w:tc>
        <w:tc>
          <w:tcPr>
            <w:tcW w:w="5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color w:val="auto"/>
                <w:w w:val="84"/>
              </w:rPr>
              <w:t>9,932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40" w:type="dxa"/>
            <w:vAlign w:val="bottom"/>
          </w:tcPr>
          <w:p>
            <w:pPr>
              <w:spacing w:after="0"/>
              <w:rPr>
                <w:sz w:val="20"/>
                <w:szCs w:val="20"/>
                <w:color w:val="auto"/>
              </w:rPr>
            </w:pPr>
            <w:r>
              <w:rPr>
                <w:rFonts w:ascii="Arial" w:cs="Arial" w:eastAsia="Arial" w:hAnsi="Arial"/>
                <w:sz w:val="16"/>
                <w:szCs w:val="16"/>
                <w:color w:val="auto"/>
              </w:rPr>
              <w:t>Financial liabilities—current portion (3, Note</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60"/>
              <w:spacing w:after="0"/>
              <w:rPr>
                <w:sz w:val="20"/>
                <w:szCs w:val="20"/>
                <w:color w:val="auto"/>
              </w:rPr>
            </w:pPr>
            <w:r>
              <w:rPr>
                <w:rFonts w:ascii="Arial" w:cs="Arial" w:eastAsia="Arial" w:hAnsi="Arial"/>
                <w:sz w:val="16"/>
                <w:szCs w:val="16"/>
                <w:color w:val="auto"/>
              </w:rPr>
              <w:t>15)</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11,345</w:t>
            </w:r>
          </w:p>
        </w:tc>
        <w:tc>
          <w:tcPr>
            <w:tcW w:w="5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11,345</w:t>
            </w:r>
          </w:p>
        </w:tc>
        <w:tc>
          <w:tcPr>
            <w:tcW w:w="580" w:type="dxa"/>
            <w:vAlign w:val="bottom"/>
          </w:tcPr>
          <w:p>
            <w:pPr>
              <w:spacing w:after="0"/>
              <w:rPr>
                <w:sz w:val="18"/>
                <w:szCs w:val="18"/>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—   </w:t>
            </w:r>
          </w:p>
        </w:tc>
        <w:tc>
          <w:tcPr>
            <w:tcW w:w="140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11,345</w:t>
            </w:r>
          </w:p>
        </w:tc>
        <w:tc>
          <w:tcPr>
            <w:tcW w:w="0" w:type="dxa"/>
            <w:vAlign w:val="bottom"/>
          </w:tcPr>
          <w:p>
            <w:pPr>
              <w:spacing w:after="0"/>
              <w:rPr>
                <w:sz w:val="1"/>
                <w:szCs w:val="1"/>
                <w:color w:val="auto"/>
              </w:rPr>
            </w:pPr>
          </w:p>
        </w:tc>
      </w:tr>
      <w:tr>
        <w:trPr>
          <w:trHeight w:val="205"/>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18,558</w:t>
            </w:r>
          </w:p>
        </w:tc>
        <w:tc>
          <w:tcPr>
            <w:tcW w:w="5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18,551</w:t>
            </w:r>
          </w:p>
        </w:tc>
        <w:tc>
          <w:tcPr>
            <w:tcW w:w="580" w:type="dxa"/>
            <w:vAlign w:val="bottom"/>
            <w:tcBorders>
              <w:right w:val="single" w:sz="8" w:color="CCEEFF"/>
            </w:tcBorders>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060" w:type="dxa"/>
            <w:vAlign w:val="bottom"/>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—   </w:t>
            </w:r>
          </w:p>
        </w:tc>
        <w:tc>
          <w:tcPr>
            <w:tcW w:w="140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81,323</w:t>
            </w:r>
          </w:p>
        </w:tc>
        <w:tc>
          <w:tcPr>
            <w:tcW w:w="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83,664</w:t>
            </w:r>
          </w:p>
        </w:tc>
        <w:tc>
          <w:tcPr>
            <w:tcW w:w="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w w:val="84"/>
              </w:rPr>
              <w:t>9,932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73,732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640" w:type="dxa"/>
            <w:vAlign w:val="bottom"/>
          </w:tcPr>
          <w:p>
            <w:pPr>
              <w:spacing w:after="0"/>
              <w:rPr>
                <w:sz w:val="24"/>
                <w:szCs w:val="24"/>
                <w:color w:val="auto"/>
              </w:rPr>
            </w:pPr>
          </w:p>
        </w:tc>
        <w:tc>
          <w:tcPr>
            <w:tcW w:w="1660" w:type="dxa"/>
            <w:vAlign w:val="bottom"/>
            <w:gridSpan w:val="3"/>
            <w:vMerge w:val="restart"/>
          </w:tcPr>
          <w:p>
            <w:pPr>
              <w:jc w:val="center"/>
              <w:ind w:right="600"/>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3"/>
              </w:rPr>
              <w:t>AS OF DECEMBER 31, 2022</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6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8"/>
              </w:rPr>
              <w:t>RECOGNIZED IN</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8"/>
              </w:rPr>
              <w:t>ASSETS/ LIABILITIES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6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7"/>
              </w:rPr>
              <w:t>THE STATEMENT</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6"/>
              </w:rPr>
              <w:t>AT FAIR VALUE</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93"/>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6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rPr>
              <w:t>OF FINANCIAL</w:t>
            </w:r>
          </w:p>
        </w:tc>
        <w:tc>
          <w:tcPr>
            <w:tcW w:w="1080" w:type="dxa"/>
            <w:vAlign w:val="bottom"/>
            <w:gridSpan w:val="3"/>
          </w:tcPr>
          <w:p>
            <w:pPr>
              <w:jc w:val="center"/>
              <w:ind w:right="580"/>
              <w:spacing w:after="0" w:line="135" w:lineRule="exact"/>
              <w:rPr>
                <w:sz w:val="20"/>
                <w:szCs w:val="20"/>
                <w:color w:val="auto"/>
              </w:rPr>
            </w:pPr>
            <w:r>
              <w:rPr>
                <w:rFonts w:ascii="Arial" w:cs="Arial" w:eastAsia="Arial" w:hAnsi="Arial"/>
                <w:sz w:val="13"/>
                <w:szCs w:val="13"/>
                <w:b w:val="1"/>
                <w:bCs w:val="1"/>
                <w:color w:val="auto"/>
                <w:w w:val="98"/>
              </w:rPr>
              <w:t>FAIR</w:t>
            </w:r>
          </w:p>
        </w:tc>
        <w:tc>
          <w:tcPr>
            <w:tcW w:w="22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9"/>
              </w:rPr>
              <w:t>THROUGH PROFIT</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64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 of euros)</w:t>
            </w:r>
          </w:p>
        </w:tc>
        <w:tc>
          <w:tcPr>
            <w:tcW w:w="1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9"/>
              </w:rPr>
              <w:t>POSITION</w:t>
            </w:r>
          </w:p>
        </w:tc>
        <w:tc>
          <w:tcPr>
            <w:tcW w:w="5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VALUE</w:t>
            </w:r>
          </w:p>
        </w:tc>
        <w:tc>
          <w:tcPr>
            <w:tcW w:w="5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AND LOSS</w:t>
            </w:r>
          </w:p>
        </w:tc>
        <w:tc>
          <w:tcPr>
            <w:tcW w:w="5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COST</w:t>
            </w:r>
          </w:p>
        </w:tc>
        <w:tc>
          <w:tcPr>
            <w:tcW w:w="6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COST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11,708</w:t>
            </w:r>
          </w:p>
        </w:tc>
        <w:tc>
          <w:tcPr>
            <w:tcW w:w="5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11,271</w:t>
            </w:r>
          </w:p>
        </w:tc>
        <w:tc>
          <w:tcPr>
            <w:tcW w:w="580" w:type="dxa"/>
            <w:vAlign w:val="bottom"/>
            <w:tcBorders>
              <w:right w:val="single" w:sz="8" w:color="CCEEFF"/>
            </w:tcBorders>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11,271</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4"/>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10,268</w:t>
            </w:r>
          </w:p>
        </w:tc>
        <w:tc>
          <w:tcPr>
            <w:tcW w:w="5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10,268</w:t>
            </w:r>
          </w:p>
        </w:tc>
        <w:tc>
          <w:tcPr>
            <w:tcW w:w="580" w:type="dxa"/>
            <w:vAlign w:val="bottom"/>
          </w:tcPr>
          <w:p>
            <w:pPr>
              <w:spacing w:after="0"/>
              <w:rPr>
                <w:sz w:val="17"/>
                <w:szCs w:val="17"/>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10,268</w:t>
            </w:r>
          </w:p>
        </w:tc>
        <w:tc>
          <w:tcPr>
            <w:tcW w:w="6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3"/>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26,950</w:t>
            </w:r>
          </w:p>
        </w:tc>
        <w:tc>
          <w:tcPr>
            <w:tcW w:w="5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26,950</w:t>
            </w:r>
          </w:p>
        </w:tc>
        <w:tc>
          <w:tcPr>
            <w:tcW w:w="580" w:type="dxa"/>
            <w:vAlign w:val="bottom"/>
            <w:tcBorders>
              <w:right w:val="single" w:sz="8" w:color="CCEEFF"/>
            </w:tcBorders>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26,950</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48,926</w:t>
            </w:r>
          </w:p>
        </w:tc>
        <w:tc>
          <w:tcPr>
            <w:tcW w:w="58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3"/>
              </w:rPr>
              <w:t>48,488</w:t>
            </w:r>
          </w:p>
        </w:tc>
        <w:tc>
          <w:tcPr>
            <w:tcW w:w="580" w:type="dxa"/>
            <w:vAlign w:val="bottom"/>
          </w:tcPr>
          <w:p>
            <w:pPr>
              <w:spacing w:after="0"/>
              <w:rPr>
                <w:sz w:val="17"/>
                <w:szCs w:val="17"/>
                <w:color w:val="auto"/>
              </w:rPr>
            </w:pPr>
          </w:p>
        </w:tc>
        <w:tc>
          <w:tcPr>
            <w:tcW w:w="1620" w:type="dxa"/>
            <w:vAlign w:val="bottom"/>
            <w:tcBorders>
              <w:top w:val="single" w:sz="8" w:color="auto"/>
              <w:bottom w:val="single" w:sz="8" w:color="auto"/>
            </w:tcBorders>
            <w:gridSpan w:val="2"/>
          </w:tcPr>
          <w:p>
            <w:pPr>
              <w:ind w:left="1360"/>
              <w:spacing w:after="0"/>
              <w:rPr>
                <w:sz w:val="20"/>
                <w:szCs w:val="20"/>
                <w:color w:val="auto"/>
              </w:rPr>
            </w:pPr>
            <w:r>
              <w:rPr>
                <w:rFonts w:ascii="Arial" w:cs="Arial" w:eastAsia="Arial" w:hAnsi="Arial"/>
                <w:sz w:val="16"/>
                <w:szCs w:val="16"/>
                <w:b w:val="1"/>
                <w:bCs w:val="1"/>
                <w:color w:val="auto"/>
                <w:w w:val="84"/>
              </w:rPr>
              <w:t>—  </w:t>
            </w:r>
          </w:p>
        </w:tc>
        <w:tc>
          <w:tcPr>
            <w:tcW w:w="5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48,488</w:t>
            </w:r>
          </w:p>
        </w:tc>
        <w:tc>
          <w:tcPr>
            <w:tcW w:w="600" w:type="dxa"/>
            <w:vAlign w:val="bottom"/>
          </w:tcPr>
          <w:p>
            <w:pPr>
              <w:spacing w:after="0"/>
              <w:rPr>
                <w:sz w:val="17"/>
                <w:szCs w:val="17"/>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b w:val="1"/>
                <w:bCs w:val="1"/>
                <w:color w:val="auto"/>
                <w:w w:val="84"/>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AMOUNT</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1"/>
              </w:rPr>
              <w:t>AS OF DECEMBER 31, 2022</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RECOGNIZED IN</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7"/>
              </w:rPr>
              <w:t>ASSETS/ LIABILITIES</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THE STATEMENT</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144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3"/>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OF FINANCIAL</w:t>
            </w:r>
          </w:p>
        </w:tc>
        <w:tc>
          <w:tcPr>
            <w:tcW w:w="640" w:type="dxa"/>
            <w:vAlign w:val="bottom"/>
          </w:tcPr>
          <w:p>
            <w:pPr>
              <w:spacing w:after="0"/>
              <w:rPr>
                <w:sz w:val="11"/>
                <w:szCs w:val="11"/>
                <w:color w:val="auto"/>
              </w:rPr>
            </w:pPr>
          </w:p>
        </w:tc>
        <w:tc>
          <w:tcPr>
            <w:tcW w:w="1120" w:type="dxa"/>
            <w:vAlign w:val="bottom"/>
            <w:gridSpan w:val="2"/>
          </w:tcPr>
          <w:p>
            <w:pPr>
              <w:jc w:val="center"/>
              <w:ind w:right="660"/>
              <w:spacing w:after="0" w:line="135" w:lineRule="exact"/>
              <w:rPr>
                <w:sz w:val="20"/>
                <w:szCs w:val="20"/>
                <w:color w:val="auto"/>
              </w:rPr>
            </w:pPr>
            <w:r>
              <w:rPr>
                <w:rFonts w:ascii="Arial" w:cs="Arial" w:eastAsia="Arial" w:hAnsi="Arial"/>
                <w:sz w:val="13"/>
                <w:szCs w:val="13"/>
                <w:b w:val="1"/>
                <w:bCs w:val="1"/>
                <w:color w:val="auto"/>
                <w:w w:val="98"/>
              </w:rPr>
              <w:t>FAIR</w:t>
            </w:r>
          </w:p>
        </w:tc>
        <w:tc>
          <w:tcPr>
            <w:tcW w:w="22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rPr>
              <w:t>THROUGH PROFIT</w:t>
            </w:r>
          </w:p>
        </w:tc>
        <w:tc>
          <w:tcPr>
            <w:tcW w:w="144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POSITION</w:t>
            </w:r>
          </w:p>
        </w:tc>
        <w:tc>
          <w:tcPr>
            <w:tcW w:w="640" w:type="dxa"/>
            <w:vAlign w:val="bottom"/>
          </w:tcPr>
          <w:p>
            <w:pPr>
              <w:spacing w:after="0"/>
              <w:rPr>
                <w:sz w:val="13"/>
                <w:szCs w:val="13"/>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5"/>
              </w:rPr>
              <w:t>VALUE</w:t>
            </w:r>
          </w:p>
        </w:tc>
        <w:tc>
          <w:tcPr>
            <w:tcW w:w="22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AND LOSS</w:t>
            </w:r>
          </w:p>
        </w:tc>
        <w:tc>
          <w:tcPr>
            <w:tcW w:w="144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9"/>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73"/>
        </w:trPr>
        <w:tc>
          <w:tcPr>
            <w:tcW w:w="34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Financial liabilities—non-current portion</w:t>
            </w:r>
          </w:p>
        </w:tc>
        <w:tc>
          <w:tcPr>
            <w:tcW w:w="10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 Note 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34,885</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26,698</w:t>
            </w:r>
          </w:p>
        </w:tc>
        <w:tc>
          <w:tcPr>
            <w:tcW w:w="1620" w:type="dxa"/>
            <w:vAlign w:val="bottom"/>
            <w:shd w:val="clear" w:color="auto" w:fill="CCEEFF"/>
          </w:tcPr>
          <w:p>
            <w:pPr>
              <w:ind w:left="1380"/>
              <w:spacing w:after="0"/>
              <w:rPr>
                <w:sz w:val="20"/>
                <w:szCs w:val="20"/>
                <w:color w:val="auto"/>
              </w:rPr>
            </w:pPr>
            <w:r>
              <w:rPr>
                <w:rFonts w:ascii="Arial" w:cs="Arial" w:eastAsia="Arial" w:hAnsi="Arial"/>
                <w:sz w:val="16"/>
                <w:szCs w:val="16"/>
                <w:color w:val="auto"/>
                <w:w w:val="82"/>
              </w:rPr>
              <w:t>566</w:t>
            </w: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40" w:type="dxa"/>
            <w:vAlign w:val="bottom"/>
          </w:tcPr>
          <w:p>
            <w:pPr>
              <w:spacing w:after="0"/>
              <w:rPr>
                <w:sz w:val="20"/>
                <w:szCs w:val="20"/>
                <w:color w:val="auto"/>
              </w:rPr>
            </w:pPr>
            <w:r>
              <w:rPr>
                <w:rFonts w:ascii="Arial" w:cs="Arial" w:eastAsia="Arial" w:hAnsi="Arial"/>
                <w:sz w:val="16"/>
                <w:szCs w:val="16"/>
                <w:color w:val="auto"/>
              </w:rPr>
              <w:t>Financial liabilities—current portion</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60"/>
              <w:spacing w:after="0"/>
              <w:rPr>
                <w:sz w:val="20"/>
                <w:szCs w:val="20"/>
                <w:color w:val="auto"/>
              </w:rPr>
            </w:pPr>
            <w:r>
              <w:rPr>
                <w:rFonts w:ascii="Arial" w:cs="Arial" w:eastAsia="Arial" w:hAnsi="Arial"/>
                <w:sz w:val="16"/>
                <w:szCs w:val="16"/>
                <w:color w:val="auto"/>
              </w:rPr>
              <w:t>(3, Note 15)</w:t>
            </w:r>
          </w:p>
        </w:tc>
        <w:tc>
          <w:tcPr>
            <w:tcW w:w="1080" w:type="dxa"/>
            <w:vAlign w:val="bottom"/>
          </w:tcPr>
          <w:p>
            <w:pPr>
              <w:jc w:val="right"/>
              <w:spacing w:after="0"/>
              <w:rPr>
                <w:sz w:val="20"/>
                <w:szCs w:val="20"/>
                <w:color w:val="auto"/>
              </w:rPr>
            </w:pPr>
            <w:r>
              <w:rPr>
                <w:rFonts w:ascii="Arial" w:cs="Arial" w:eastAsia="Arial" w:hAnsi="Arial"/>
                <w:sz w:val="16"/>
                <w:szCs w:val="16"/>
                <w:color w:val="auto"/>
              </w:rPr>
              <w:t>14,912</w:t>
            </w: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14,912</w:t>
            </w:r>
          </w:p>
        </w:tc>
        <w:tc>
          <w:tcPr>
            <w:tcW w:w="2260" w:type="dxa"/>
            <w:vAlign w:val="bottom"/>
            <w:gridSpan w:val="2"/>
          </w:tcPr>
          <w:p>
            <w:pPr>
              <w:ind w:left="1380"/>
              <w:spacing w:after="0"/>
              <w:rPr>
                <w:sz w:val="20"/>
                <w:szCs w:val="20"/>
                <w:color w:val="auto"/>
              </w:rPr>
            </w:pPr>
            <w:r>
              <w:rPr>
                <w:rFonts w:ascii="Arial" w:cs="Arial" w:eastAsia="Arial" w:hAnsi="Arial"/>
                <w:sz w:val="16"/>
                <w:szCs w:val="16"/>
                <w:color w:val="auto"/>
              </w:rPr>
              <w:t>—    </w:t>
            </w:r>
          </w:p>
        </w:tc>
        <w:tc>
          <w:tcPr>
            <w:tcW w:w="144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14,912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current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15,475</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15,466</w:t>
            </w:r>
          </w:p>
        </w:tc>
        <w:tc>
          <w:tcPr>
            <w:tcW w:w="226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rPr>
              <w:t>—    </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080" w:type="dxa"/>
            <w:vAlign w:val="bottom"/>
          </w:tcPr>
          <w:p>
            <w:pPr>
              <w:jc w:val="right"/>
              <w:spacing w:after="0"/>
              <w:rPr>
                <w:sz w:val="20"/>
                <w:szCs w:val="20"/>
                <w:color w:val="auto"/>
              </w:rPr>
            </w:pPr>
            <w:r>
              <w:rPr>
                <w:rFonts w:ascii="Arial" w:cs="Arial" w:eastAsia="Arial" w:hAnsi="Arial"/>
                <w:sz w:val="16"/>
                <w:szCs w:val="16"/>
                <w:color w:val="auto"/>
              </w:rPr>
              <w:t>1,348</w:t>
            </w:r>
          </w:p>
        </w:tc>
        <w:tc>
          <w:tcPr>
            <w:tcW w:w="6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1,348</w:t>
            </w:r>
          </w:p>
        </w:tc>
        <w:tc>
          <w:tcPr>
            <w:tcW w:w="640" w:type="dxa"/>
            <w:vAlign w:val="bottom"/>
          </w:tcPr>
          <w:p>
            <w:pPr>
              <w:spacing w:after="0"/>
              <w:rPr>
                <w:sz w:val="17"/>
                <w:szCs w:val="17"/>
                <w:color w:val="auto"/>
              </w:rPr>
            </w:pPr>
          </w:p>
        </w:tc>
        <w:tc>
          <w:tcPr>
            <w:tcW w:w="2260" w:type="dxa"/>
            <w:vAlign w:val="bottom"/>
            <w:gridSpan w:val="2"/>
          </w:tcPr>
          <w:p>
            <w:pPr>
              <w:ind w:left="1380"/>
              <w:spacing w:after="0"/>
              <w:rPr>
                <w:sz w:val="20"/>
                <w:szCs w:val="20"/>
                <w:color w:val="auto"/>
              </w:rPr>
            </w:pPr>
            <w:r>
              <w:rPr>
                <w:rFonts w:ascii="Arial" w:cs="Arial" w:eastAsia="Arial" w:hAnsi="Arial"/>
                <w:sz w:val="16"/>
                <w:szCs w:val="16"/>
                <w:color w:val="auto"/>
              </w:rPr>
              <w:t>—    </w:t>
            </w:r>
          </w:p>
        </w:tc>
        <w:tc>
          <w:tcPr>
            <w:tcW w:w="144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1,348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66,620</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58,424</w:t>
            </w:r>
          </w:p>
        </w:tc>
        <w:tc>
          <w:tcPr>
            <w:tcW w:w="640" w:type="dxa"/>
            <w:vAlign w:val="bottom"/>
            <w:shd w:val="clear" w:color="auto" w:fill="CCEEFF"/>
          </w:tcPr>
          <w:p>
            <w:pPr>
              <w:spacing w:after="0"/>
              <w:rPr>
                <w:sz w:val="17"/>
                <w:szCs w:val="17"/>
                <w:color w:val="auto"/>
              </w:rPr>
            </w:pPr>
          </w:p>
        </w:tc>
        <w:tc>
          <w:tcPr>
            <w:tcW w:w="1620" w:type="dxa"/>
            <w:vAlign w:val="bottom"/>
            <w:shd w:val="clear" w:color="auto" w:fill="CCEEFF"/>
          </w:tcPr>
          <w:p>
            <w:pPr>
              <w:ind w:left="1380"/>
              <w:spacing w:after="0"/>
              <w:rPr>
                <w:sz w:val="20"/>
                <w:szCs w:val="20"/>
                <w:color w:val="auto"/>
              </w:rPr>
            </w:pPr>
            <w:r>
              <w:rPr>
                <w:rFonts w:ascii="Arial" w:cs="Arial" w:eastAsia="Arial" w:hAnsi="Arial"/>
                <w:sz w:val="16"/>
                <w:szCs w:val="16"/>
                <w:b w:val="1"/>
                <w:bCs w:val="1"/>
                <w:color w:val="auto"/>
                <w:w w:val="82"/>
              </w:rPr>
              <w:t>566</w:t>
            </w:r>
          </w:p>
        </w:tc>
        <w:tc>
          <w:tcPr>
            <w:tcW w:w="6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57,858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80" w:hanging="424"/>
        <w:spacing w:after="0" w:line="258"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fair value of cash and cash equivalents is determined based on Level 1 fair value measurements and corresponds to the market value of the assets.</w:t>
      </w:r>
    </w:p>
    <w:p>
      <w:pPr>
        <w:spacing w:after="0" w:line="1" w:lineRule="exact"/>
        <w:rPr>
          <w:rFonts w:ascii="Arial" w:cs="Arial" w:eastAsia="Arial" w:hAnsi="Arial"/>
          <w:sz w:val="18"/>
          <w:szCs w:val="18"/>
          <w:color w:val="auto"/>
        </w:rPr>
      </w:pPr>
    </w:p>
    <w:p>
      <w:pPr>
        <w:ind w:left="540" w:right="240" w:hanging="424"/>
        <w:spacing w:after="0" w:line="265" w:lineRule="auto"/>
        <w:tabs>
          <w:tab w:leader="none" w:pos="5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carrying amount of financial assets measured at amortized cost was deemed to be a reasonable estimation of fair value, except for the long-term advances made to CROs, whose fair value is determined based on Level 3 fair value measurement and is estimated based on future cash-flows discounted at market rates, using credit spreads ranging from 16 bp to 476 bp as of December 31, 2022. As of December 31, 2022, an increase in the credit spread by +100 bp would result in a decrease in the advances fair value by €240 thousand.</w:t>
      </w:r>
    </w:p>
    <w:p>
      <w:pPr>
        <w:ind w:left="540" w:hanging="424"/>
        <w:spacing w:after="0"/>
        <w:tabs>
          <w:tab w:leader="none" w:pos="5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carrying amount of short-term financial liabilities measured at amortized cost was deemed to be a reasonable estimation of fair value.</w:t>
      </w:r>
    </w:p>
    <w:p>
      <w:pPr>
        <w:spacing w:after="0" w:line="20" w:lineRule="exact"/>
        <w:rPr>
          <w:rFonts w:ascii="Arial" w:cs="Arial" w:eastAsia="Arial" w:hAnsi="Arial"/>
          <w:sz w:val="17"/>
          <w:szCs w:val="17"/>
          <w:color w:val="auto"/>
        </w:rPr>
      </w:pPr>
    </w:p>
    <w:p>
      <w:pPr>
        <w:ind w:left="540" w:right="260" w:hanging="424"/>
        <w:spacing w:after="0" w:line="302" w:lineRule="auto"/>
        <w:tabs>
          <w:tab w:leader="none" w:pos="5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fair values of Kreos BSA A&amp;B, OCEANE conversion option and royalty certificates are based on Level 3 fair value measurements and are estimated based on models and assumptions detailed in note 15. The fair value of other long-term financial liabilities is determined based on Level 3 fair value measurements and is estimated based on future cash-flows discounted at market rates, using the following assumptions:</w:t>
      </w:r>
    </w:p>
    <w:p>
      <w:pPr>
        <w:spacing w:after="0" w:line="60" w:lineRule="exact"/>
        <w:rPr>
          <w:rFonts w:ascii="Arial" w:cs="Arial" w:eastAsia="Arial" w:hAnsi="Arial"/>
          <w:sz w:val="16"/>
          <w:szCs w:val="16"/>
          <w:color w:val="auto"/>
        </w:rPr>
      </w:pPr>
    </w:p>
    <w:p>
      <w:pPr>
        <w:ind w:left="1080" w:hanging="424"/>
        <w:spacing w:after="0"/>
        <w:tabs>
          <w:tab w:leader="none" w:pos="10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For the debt components of Kreos 1&amp;2 bonds, a credit spread of 1,058 bp as of December 31, 2021 and 1,475 bp as of December 31, 2022.</w:t>
      </w:r>
    </w:p>
    <w:p>
      <w:pPr>
        <w:spacing w:after="0" w:line="140" w:lineRule="exact"/>
        <w:rPr>
          <w:rFonts w:ascii="Arial" w:cs="Arial" w:eastAsia="Arial" w:hAnsi="Arial"/>
          <w:sz w:val="16"/>
          <w:szCs w:val="16"/>
          <w:color w:val="auto"/>
        </w:rPr>
      </w:pPr>
    </w:p>
    <w:p>
      <w:pPr>
        <w:ind w:left="1100" w:right="320"/>
        <w:spacing w:after="0" w:line="277" w:lineRule="auto"/>
        <w:rPr>
          <w:rFonts w:ascii="Arial" w:cs="Arial" w:eastAsia="Arial" w:hAnsi="Arial"/>
          <w:sz w:val="16"/>
          <w:szCs w:val="16"/>
          <w:color w:val="auto"/>
        </w:rPr>
      </w:pPr>
      <w:r>
        <w:rPr>
          <w:rFonts w:ascii="Arial" w:cs="Arial" w:eastAsia="Arial" w:hAnsi="Arial"/>
          <w:sz w:val="18"/>
          <w:szCs w:val="18"/>
          <w:color w:val="auto"/>
        </w:rPr>
        <w:t>As of December 31, 2021 and 2022, an increase in the credit spread by +100 bp would result in a decrease in the Kreos 1&amp;2 bonds fair value by €209 thousand and €68 thousand, respectively.</w:t>
      </w:r>
    </w:p>
    <w:p>
      <w:pPr>
        <w:spacing w:after="0" w:line="75" w:lineRule="exact"/>
        <w:rPr>
          <w:rFonts w:ascii="Arial" w:cs="Arial" w:eastAsia="Arial" w:hAnsi="Arial"/>
          <w:sz w:val="16"/>
          <w:szCs w:val="16"/>
          <w:color w:val="auto"/>
        </w:rPr>
      </w:pPr>
    </w:p>
    <w:p>
      <w:pPr>
        <w:ind w:left="1080" w:hanging="424"/>
        <w:spacing w:after="0"/>
        <w:tabs>
          <w:tab w:leader="none" w:pos="10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For the debt component of OCEANE bonds, a credit spread similar to that detailed in note 15.</w:t>
      </w:r>
    </w:p>
    <w:p>
      <w:pPr>
        <w:spacing w:after="0" w:line="117" w:lineRule="exact"/>
        <w:rPr>
          <w:rFonts w:ascii="Arial" w:cs="Arial" w:eastAsia="Arial" w:hAnsi="Arial"/>
          <w:sz w:val="18"/>
          <w:szCs w:val="18"/>
          <w:color w:val="auto"/>
        </w:rPr>
      </w:pPr>
    </w:p>
    <w:p>
      <w:pPr>
        <w:ind w:left="1100" w:right="7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and 2022, an increase in the credit spread by +100 bp would result in a decrease in the OCEANE debt component fair value by €648 thousand and €476 thousand, respectively.</w:t>
      </w:r>
    </w:p>
    <w:p>
      <w:pPr>
        <w:spacing w:after="0" w:line="75" w:lineRule="exact"/>
        <w:rPr>
          <w:rFonts w:ascii="Arial" w:cs="Arial" w:eastAsia="Arial" w:hAnsi="Arial"/>
          <w:sz w:val="18"/>
          <w:szCs w:val="18"/>
          <w:color w:val="auto"/>
        </w:rPr>
      </w:pPr>
    </w:p>
    <w:p>
      <w:pPr>
        <w:ind w:left="1100" w:right="80" w:hanging="444"/>
        <w:spacing w:after="0" w:line="383" w:lineRule="auto"/>
        <w:tabs>
          <w:tab w:leader="none" w:pos="108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For the conditional advances and the PGE loan, a credit spread of 850 bp as of December 31, 2021 and 1,475 bp as of December 31, 2022. An increase in the credit spread by +100 bp would result in the following:</w:t>
      </w:r>
    </w:p>
    <w:p>
      <w:pPr>
        <w:ind w:left="1540" w:hanging="331"/>
        <w:spacing w:after="0"/>
        <w:tabs>
          <w:tab w:leader="none" w:pos="1540" w:val="left"/>
        </w:tabs>
        <w:numPr>
          <w:ilvl w:val="2"/>
          <w:numId w:val="200"/>
        </w:numPr>
        <w:rPr>
          <w:rFonts w:ascii="Arial" w:cs="Arial" w:eastAsia="Arial" w:hAnsi="Arial"/>
          <w:sz w:val="17"/>
          <w:szCs w:val="17"/>
          <w:color w:val="auto"/>
        </w:rPr>
      </w:pPr>
      <w:r>
        <w:rPr>
          <w:rFonts w:ascii="Arial" w:cs="Arial" w:eastAsia="Arial" w:hAnsi="Arial"/>
          <w:sz w:val="17"/>
          <w:szCs w:val="17"/>
          <w:color w:val="auto"/>
        </w:rPr>
        <w:t>As of December 31, 2021 and 2022, a decrease in the PGE loan fair value by €102 thousand and €55 thousand, respectively.</w:t>
      </w:r>
    </w:p>
    <w:p>
      <w:pPr>
        <w:spacing w:after="0" w:line="142" w:lineRule="exact"/>
        <w:rPr>
          <w:rFonts w:ascii="Arial" w:cs="Arial" w:eastAsia="Arial" w:hAnsi="Arial"/>
          <w:sz w:val="17"/>
          <w:szCs w:val="17"/>
          <w:color w:val="auto"/>
        </w:rPr>
      </w:pPr>
    </w:p>
    <w:p>
      <w:pPr>
        <w:ind w:left="1540" w:right="180" w:hanging="331"/>
        <w:spacing w:after="0" w:line="277" w:lineRule="auto"/>
        <w:tabs>
          <w:tab w:leader="none" w:pos="154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As of December 31, 2021 and 2022, a decrease in the RNP-VIR conditional advance fair value by €61 thousand and €31 thousand, respectively.</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As of December 31, 2021 and 2022, a decrease in the CARENA conditional advance fair value by €58 thousand and €37 thousand respectively.</w:t>
      </w:r>
    </w:p>
    <w:p>
      <w:pPr>
        <w:spacing w:after="0" w:line="75" w:lineRule="exact"/>
        <w:rPr>
          <w:rFonts w:ascii="Arial" w:cs="Arial" w:eastAsia="Arial" w:hAnsi="Arial"/>
          <w:sz w:val="18"/>
          <w:szCs w:val="18"/>
          <w:color w:val="auto"/>
        </w:rPr>
      </w:pPr>
    </w:p>
    <w:p>
      <w:pPr>
        <w:ind w:left="1540" w:right="660" w:hanging="331"/>
        <w:spacing w:after="0" w:line="277" w:lineRule="auto"/>
        <w:tabs>
          <w:tab w:leader="none" w:pos="154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As of December 31, 2021 and 2022, a decrease in the Ebola conditional advance fair value by €3 thousand and €1 thousand,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As of December 31, 2021, a decrease in the Covid-19 conditional advance fair value by €161 thousand.</w:t>
      </w:r>
    </w:p>
    <w:p>
      <w:pPr>
        <w:spacing w:after="0" w:line="130" w:lineRule="exact"/>
        <w:rPr>
          <w:rFonts w:ascii="Arial" w:cs="Arial" w:eastAsia="Arial" w:hAnsi="Arial"/>
          <w:sz w:val="18"/>
          <w:szCs w:val="18"/>
          <w:color w:val="auto"/>
        </w:rPr>
      </w:pPr>
    </w:p>
    <w:p>
      <w:pPr>
        <w:ind w:left="540" w:right="440" w:hanging="424"/>
        <w:spacing w:after="0" w:line="277"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Social security and other tax payables are excluded from the tax and employee-related payables, as this analysis is required only for financial instruments.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13.1. Share capital issued</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manages its capital to ensure that the Company will be able to continue as a going concern while maximizing the return to shareholders through the optimization of the debt and equity balance.</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As of December 31, 2021, the Company’s share capital amounted to €168 thousand divided into 16,764,051 ordinary shares issued with a par value of €0.01 each, fully paid up, after taking into account the various capital increases that took place since the inception (see Note 13.3).</w:t>
      </w:r>
    </w:p>
    <w:p>
      <w:pPr>
        <w:spacing w:after="0" w:line="146"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As of December 31, 2022, the Company’s share capital amounted to €223 thousand divided into 22,313,185 ordinary shares issued with a par value of €0.01 each, fully paid up, after taking into account the various capital increases that took place since the inception (see Note 13.3).</w:t>
      </w:r>
    </w:p>
    <w:p>
      <w:pPr>
        <w:spacing w:after="0" w:line="146" w:lineRule="exact"/>
        <w:rPr>
          <w:sz w:val="20"/>
          <w:szCs w:val="20"/>
          <w:color w:val="auto"/>
        </w:rPr>
      </w:pPr>
    </w:p>
    <w:p>
      <w:pPr>
        <w:ind w:left="120" w:right="1100"/>
        <w:spacing w:after="0" w:line="277" w:lineRule="auto"/>
        <w:rPr>
          <w:sz w:val="20"/>
          <w:szCs w:val="20"/>
          <w:color w:val="auto"/>
        </w:rPr>
      </w:pPr>
      <w:r>
        <w:rPr>
          <w:rFonts w:ascii="Arial" w:cs="Arial" w:eastAsia="Arial" w:hAnsi="Arial"/>
          <w:sz w:val="18"/>
          <w:szCs w:val="18"/>
          <w:color w:val="auto"/>
        </w:rPr>
        <w:t>Share capital does not include BCEs, BSAs, and AGAs that have been granted to certain investors or natural persons, both employees and non-employees of the Company, but not yet exercised or acquired.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Treasury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held 8,600 and 12,000 of its own shares as of December 31, 2021 and 2022, respectively.</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number of outstanding ordinary shares (excluding treasury shares held by the Company) was 16,755,451 and 22,301,185 as of December 31, 2021 and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13.2. Equity line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 agreement with Kepler Cheuvreux</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 entered into an equity line agreement with Kepler Cheuvreux in September 2019. In accordance with the terms of this agreement, Kepler Cheuvreux, acting as financial intermediary and guarantor of the transaction, committed to subscribe for 730,000 shares, at its own initiative, following a schedule lasting no longer than 24 months, at an issuance price based on an average market price weighted according to the volumes traded over the two trading days preceding each issue, less a maximum discount of 7.0%. On September 24, 2021, the Company extended the agreement for an additional period of 12 months for the unsubscribed shares at that date. On October 1, 2022, the agreement ended and the 300,000 outstanding BSAs lapsed.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NUMBER</w:t>
            </w: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OF SHARES</w:t>
            </w:r>
          </w:p>
        </w:tc>
        <w:tc>
          <w:tcPr>
            <w:tcW w:w="9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BSAs</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TO BE</w:t>
            </w:r>
          </w:p>
        </w:tc>
        <w:tc>
          <w:tcPr>
            <w:tcW w:w="9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BSAs</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BSAs</w:t>
            </w:r>
          </w:p>
        </w:tc>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BSAs</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TO BE</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ISSUED</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EXERCISED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LAPSED</w:t>
            </w: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ISSUED</w:t>
            </w:r>
          </w:p>
        </w:tc>
        <w:tc>
          <w:tcPr>
            <w:tcW w:w="0" w:type="dxa"/>
            <w:vAlign w:val="bottom"/>
          </w:tcPr>
          <w:p>
            <w:pPr>
              <w:spacing w:after="0"/>
              <w:rPr>
                <w:sz w:val="1"/>
                <w:szCs w:val="1"/>
                <w:color w:val="auto"/>
              </w:rPr>
            </w:pPr>
          </w:p>
        </w:tc>
      </w:tr>
      <w:tr>
        <w:trPr>
          <w:trHeight w:val="327"/>
        </w:trPr>
        <w:tc>
          <w:tcPr>
            <w:tcW w:w="4940" w:type="dxa"/>
            <w:vAlign w:val="bottom"/>
          </w:tcPr>
          <w:p>
            <w:pPr>
              <w:spacing w:after="0"/>
              <w:rPr>
                <w:sz w:val="24"/>
                <w:szCs w:val="24"/>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 2021</w:t>
            </w: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21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120" w:type="dxa"/>
            <w:vAlign w:val="bottom"/>
            <w:gridSpan w:val="3"/>
            <w:vMerge w:val="continue"/>
          </w:tcPr>
          <w:p>
            <w:pPr>
              <w:spacing w:after="0"/>
              <w:rPr>
                <w:sz w:val="14"/>
                <w:szCs w:val="14"/>
                <w:color w:val="auto"/>
              </w:rPr>
            </w:pPr>
          </w:p>
        </w:tc>
        <w:tc>
          <w:tcPr>
            <w:tcW w:w="18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2022</w:t>
            </w:r>
          </w:p>
        </w:tc>
        <w:tc>
          <w:tcPr>
            <w:tcW w:w="2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BSAs granted under the Equity line agrement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—  </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rPr>
              <w:t>—  </w:t>
            </w:r>
          </w:p>
        </w:tc>
        <w:tc>
          <w:tcPr>
            <w:tcW w:w="920" w:type="dxa"/>
            <w:vAlign w:val="bottom"/>
            <w:tcBorders>
              <w:top w:val="single" w:sz="8" w:color="auto"/>
            </w:tcBorders>
            <w:shd w:val="clear" w:color="auto" w:fill="CCEEFF"/>
          </w:tcPr>
          <w:p>
            <w:pPr>
              <w:ind w:left="700"/>
              <w:spacing w:after="0" w:line="142" w:lineRule="exact"/>
              <w:rPr>
                <w:sz w:val="20"/>
                <w:szCs w:val="20"/>
                <w:color w:val="auto"/>
              </w:rPr>
            </w:pPr>
            <w:r>
              <w:rPr>
                <w:rFonts w:ascii="Arial" w:cs="Arial" w:eastAsia="Arial" w:hAnsi="Arial"/>
                <w:sz w:val="14"/>
                <w:szCs w:val="14"/>
                <w:color w:val="auto"/>
                <w:w w:val="80"/>
              </w:rPr>
              <w:t>—  </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Considering that the Company could terminate or suspend the Equity line agreement by buying back the BSAs or increasing the minimum exercise price and that Kepler Cheuvreux was committed to subscribe the shares if the conditions are met, the BSAs granted to Kepler Cheuvreux under the Equity line agreements were off-balance sheet commitments rather than derivative instruments.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13.3. Change in share capital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year ended December 31, 2021 relate to:</w:t>
      </w:r>
    </w:p>
    <w:p>
      <w:pPr>
        <w:spacing w:after="0" w:line="131" w:lineRule="exact"/>
        <w:rPr>
          <w:sz w:val="20"/>
          <w:szCs w:val="20"/>
          <w:color w:val="auto"/>
        </w:rPr>
      </w:pPr>
    </w:p>
    <w:p>
      <w:pPr>
        <w:ind w:left="1080" w:right="10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completion of a capital increase of €59,982 thousand on July 27, 2021 by issuing 1,964,031 ordinary shares with a par value of €0.01 per share and a subscription price of €30.55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exercises of 167,749 share warrants for the year ended December 31, 2021 (see note 14), resulting in a capital increase of</w:t>
      </w:r>
    </w:p>
    <w:p>
      <w:pPr>
        <w:spacing w:after="0" w:line="34" w:lineRule="exact"/>
        <w:rPr>
          <w:rFonts w:ascii="Arial" w:cs="Arial" w:eastAsia="Arial" w:hAnsi="Arial"/>
          <w:sz w:val="17"/>
          <w:szCs w:val="17"/>
          <w:color w:val="auto"/>
        </w:rPr>
      </w:pPr>
    </w:p>
    <w:p>
      <w:pPr>
        <w:ind w:left="1080" w:right="340"/>
        <w:spacing w:after="0" w:line="260" w:lineRule="auto"/>
        <w:rPr>
          <w:rFonts w:ascii="Arial" w:cs="Arial" w:eastAsia="Arial" w:hAnsi="Arial"/>
          <w:sz w:val="17"/>
          <w:szCs w:val="17"/>
          <w:color w:val="auto"/>
        </w:rPr>
      </w:pPr>
      <w:r>
        <w:rPr>
          <w:rFonts w:ascii="Arial" w:cs="Arial" w:eastAsia="Arial" w:hAnsi="Arial"/>
          <w:sz w:val="18"/>
          <w:szCs w:val="18"/>
          <w:color w:val="auto"/>
        </w:rPr>
        <w:t>€1,522 thousand by issuing 167,749 ordinary shares with a par value of €0.01 per share and an average subscription price of €8,49 per share;</w:t>
      </w:r>
    </w:p>
    <w:p>
      <w:pPr>
        <w:spacing w:after="0" w:line="9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exercises of 312,000 share warrants under the Equity line agreement for the year ended December 31, 2021 (see note 13.2), resulting in a capital increase of €8,094 thousand, net of commissions, by issuing 312,000 ordinary shares with a par value of €0.01 per share and an average subscription price of €27,13 per share;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€4,153 thousand for the year the year ended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year ended December 31, 2022 relate to:</w:t>
      </w:r>
    </w:p>
    <w:p>
      <w:pPr>
        <w:spacing w:after="0" w:line="131" w:lineRule="exact"/>
        <w:rPr>
          <w:sz w:val="20"/>
          <w:szCs w:val="20"/>
          <w:color w:val="auto"/>
        </w:rPr>
      </w:pPr>
    </w:p>
    <w:p>
      <w:pPr>
        <w:ind w:left="1080" w:right="160" w:hanging="424"/>
        <w:spacing w:after="0" w:line="277"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completion of a capital increase of €46,231 thousand on September 7, 2022 by issuing 5,530,000 ordinary shares with a par value of €0.01 per share and a subscription price of €8.36 per share;</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exercises of 522 share warrants for the year ended December 31, 2022 (see Note 14), resulting in a capital increase of €3 thousand by issuing 19,134 ordinary shares with a par value of €0.01 per share and an average subscription price of €0.14 per share;</w:t>
      </w:r>
    </w:p>
    <w:p>
      <w:pPr>
        <w:spacing w:after="0" w:line="12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€3,280 thousand for the period ended December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distribute any dividends for any of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Share-based payments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has granted BCEs, BSAs and AGAs. These plans qualify as “equity settled” under IFRS 2. The Company does not have any obligation to purchase these instruments in the event of departure or if a specific event does not occur.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methods of BCEs, BSAs and AGAs</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fair value of share-based awards was determined at grant date using the Black Scholes model for the BCEs and BSAs and the Monte-Carlo simulation for AGAs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estimate the fair value of the instruments are presented below and include:</w:t>
      </w:r>
    </w:p>
    <w:p>
      <w:pPr>
        <w:spacing w:after="0" w:line="131" w:lineRule="exact"/>
        <w:rPr>
          <w:sz w:val="20"/>
          <w:szCs w:val="20"/>
          <w:color w:val="auto"/>
        </w:rPr>
      </w:pPr>
    </w:p>
    <w:p>
      <w:pPr>
        <w:ind w:left="540" w:hanging="316"/>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Expected maturity of the options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Expected volatility based on the historical market share price available;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Expected dividends based on management best estimate;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Risk-free interest rate based on French OAT rates measured at grant dates;</w:t>
      </w:r>
    </w:p>
    <w:p>
      <w:pPr>
        <w:spacing w:after="0" w:line="130" w:lineRule="exact"/>
        <w:rPr>
          <w:rFonts w:ascii="Arial" w:cs="Arial" w:eastAsia="Arial" w:hAnsi="Arial"/>
          <w:sz w:val="18"/>
          <w:szCs w:val="18"/>
          <w:color w:val="auto"/>
        </w:rPr>
      </w:pPr>
    </w:p>
    <w:p>
      <w:pPr>
        <w:ind w:left="540" w:right="660" w:hanging="316"/>
        <w:spacing w:after="0" w:line="277"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Share price offered in case of change of control (only for the market condition applicable on the free-share plan) is based on Monte-Carlo simulations and taking into account a change of control premium based on the management best estimate.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BCEs as well as the assumptions used for the measurement thereof in accordance with IFRS 2 –</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NUMBER OF</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4"/>
              </w:rPr>
              <w:t>SHARES TO</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4"/>
              </w:rPr>
              <w:t>BCE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5"/>
              </w:rPr>
              <w:t>BE ISSUED</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OUTSTANDING</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tcPr>
          <w:p>
            <w:pPr>
              <w:jc w:val="center"/>
              <w:ind w:right="202"/>
              <w:spacing w:after="0" w:line="135" w:lineRule="exact"/>
              <w:rPr>
                <w:sz w:val="20"/>
                <w:szCs w:val="20"/>
                <w:color w:val="auto"/>
              </w:rPr>
            </w:pPr>
            <w:r>
              <w:rPr>
                <w:rFonts w:ascii="Arial" w:cs="Arial" w:eastAsia="Arial" w:hAnsi="Arial"/>
                <w:sz w:val="12"/>
                <w:szCs w:val="12"/>
                <w:b w:val="1"/>
                <w:bCs w:val="1"/>
                <w:color w:val="auto"/>
                <w:w w:val="98"/>
              </w:rPr>
              <w:t>NUMBER</w:t>
            </w:r>
          </w:p>
        </w:tc>
        <w:tc>
          <w:tcPr>
            <w:tcW w:w="94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w w:val="98"/>
              </w:rPr>
              <w:t>NUMBER</w:t>
            </w:r>
          </w:p>
        </w:tc>
        <w:tc>
          <w:tcPr>
            <w:tcW w:w="16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rPr>
              <w:t>IF ALL</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9"/>
              </w:rPr>
              <w:t>NUMBER OF</w:t>
            </w: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2"/>
              </w:rPr>
              <w:t>AS OF</w:t>
            </w:r>
          </w:p>
        </w:tc>
        <w:tc>
          <w:tcPr>
            <w:tcW w:w="240" w:type="dxa"/>
            <w:vAlign w:val="bottom"/>
          </w:tcPr>
          <w:p>
            <w:pPr>
              <w:spacing w:after="0"/>
              <w:rPr>
                <w:sz w:val="11"/>
                <w:szCs w:val="11"/>
                <w:color w:val="auto"/>
              </w:rPr>
            </w:pP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1"/>
                <w:szCs w:val="11"/>
                <w:color w:val="auto"/>
              </w:rPr>
            </w:pPr>
          </w:p>
        </w:tc>
        <w:tc>
          <w:tcPr>
            <w:tcW w:w="1100" w:type="dxa"/>
            <w:vAlign w:val="bottom"/>
            <w:gridSpan w:val="4"/>
          </w:tcPr>
          <w:p>
            <w:pPr>
              <w:jc w:val="center"/>
              <w:ind w:right="202"/>
              <w:spacing w:after="0" w:line="135" w:lineRule="exact"/>
              <w:rPr>
                <w:sz w:val="20"/>
                <w:szCs w:val="20"/>
                <w:color w:val="auto"/>
              </w:rPr>
            </w:pPr>
            <w:r>
              <w:rPr>
                <w:rFonts w:ascii="Arial" w:cs="Arial" w:eastAsia="Arial" w:hAnsi="Arial"/>
                <w:sz w:val="12"/>
                <w:szCs w:val="12"/>
                <w:b w:val="1"/>
                <w:bCs w:val="1"/>
                <w:color w:val="auto"/>
                <w:w w:val="92"/>
              </w:rPr>
              <w:t>OF BCEs</w:t>
            </w:r>
          </w:p>
        </w:tc>
        <w:tc>
          <w:tcPr>
            <w:tcW w:w="94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w w:val="92"/>
              </w:rPr>
              <w:t>OF BCEs</w:t>
            </w:r>
          </w:p>
        </w:tc>
        <w:tc>
          <w:tcPr>
            <w:tcW w:w="160" w:type="dxa"/>
            <w:vAlign w:val="bottom"/>
          </w:tcPr>
          <w:p>
            <w:pPr>
              <w:spacing w:after="0"/>
              <w:rPr>
                <w:sz w:val="11"/>
                <w:szCs w:val="11"/>
                <w:color w:val="auto"/>
              </w:rPr>
            </w:pPr>
          </w:p>
        </w:tc>
        <w:tc>
          <w:tcPr>
            <w:tcW w:w="800" w:type="dxa"/>
            <w:vAlign w:val="bottom"/>
            <w:gridSpan w:val="3"/>
          </w:tcPr>
          <w:p>
            <w:pPr>
              <w:jc w:val="center"/>
              <w:ind w:right="40"/>
              <w:spacing w:after="0" w:line="135" w:lineRule="exact"/>
              <w:rPr>
                <w:sz w:val="20"/>
                <w:szCs w:val="20"/>
                <w:color w:val="auto"/>
              </w:rPr>
            </w:pPr>
            <w:r>
              <w:rPr>
                <w:rFonts w:ascii="Arial" w:cs="Arial" w:eastAsia="Arial" w:hAnsi="Arial"/>
                <w:sz w:val="12"/>
                <w:szCs w:val="12"/>
                <w:b w:val="1"/>
                <w:bCs w:val="1"/>
                <w:color w:val="auto"/>
              </w:rPr>
              <w:t>CONDITIONS</w:t>
            </w:r>
          </w:p>
        </w:tc>
        <w:tc>
          <w:tcPr>
            <w:tcW w:w="0" w:type="dxa"/>
            <w:vAlign w:val="bottom"/>
          </w:tcPr>
          <w:p>
            <w:pPr>
              <w:spacing w:after="0"/>
              <w:rPr>
                <w:sz w:val="1"/>
                <w:szCs w:val="1"/>
                <w:color w:val="auto"/>
              </w:rPr>
            </w:pPr>
          </w:p>
        </w:tc>
      </w:tr>
      <w:tr>
        <w:trPr>
          <w:trHeight w:val="135"/>
        </w:trPr>
        <w:tc>
          <w:tcPr>
            <w:tcW w:w="2240" w:type="dxa"/>
            <w:vAlign w:val="bottom"/>
            <w:gridSpan w:val="2"/>
          </w:tcPr>
          <w:p>
            <w:pPr>
              <w:ind w:left="1140"/>
              <w:spacing w:after="0" w:line="135" w:lineRule="exact"/>
              <w:rPr>
                <w:sz w:val="20"/>
                <w:szCs w:val="20"/>
                <w:color w:val="auto"/>
              </w:rPr>
            </w:pPr>
            <w:r>
              <w:rPr>
                <w:rFonts w:ascii="Arial" w:cs="Arial" w:eastAsia="Arial" w:hAnsi="Arial"/>
                <w:sz w:val="12"/>
                <w:szCs w:val="12"/>
                <w:b w:val="1"/>
                <w:bCs w:val="1"/>
                <w:color w:val="auto"/>
              </w:rPr>
              <w:t>GRANT</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ind w:right="380"/>
              <w:spacing w:after="0" w:line="135" w:lineRule="exact"/>
              <w:rPr>
                <w:sz w:val="20"/>
                <w:szCs w:val="20"/>
                <w:color w:val="auto"/>
              </w:rPr>
            </w:pPr>
            <w:r>
              <w:rPr>
                <w:rFonts w:ascii="Arial" w:cs="Arial" w:eastAsia="Arial" w:hAnsi="Arial"/>
                <w:sz w:val="12"/>
                <w:szCs w:val="12"/>
                <w:b w:val="1"/>
                <w:bCs w:val="1"/>
                <w:color w:val="auto"/>
              </w:rPr>
              <w:t>BCEs</w:t>
            </w: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6"/>
              </w:rPr>
              <w:t>JANUARY</w:t>
            </w:r>
          </w:p>
        </w:tc>
        <w:tc>
          <w:tcPr>
            <w:tcW w:w="240" w:type="dxa"/>
            <w:vAlign w:val="bottom"/>
          </w:tcPr>
          <w:p>
            <w:pPr>
              <w:spacing w:after="0"/>
              <w:rPr>
                <w:sz w:val="11"/>
                <w:szCs w:val="11"/>
                <w:color w:val="auto"/>
              </w:rPr>
            </w:pP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4"/>
              </w:rPr>
              <w:t>LAPSED</w:t>
            </w:r>
          </w:p>
        </w:tc>
        <w:tc>
          <w:tcPr>
            <w:tcW w:w="10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7"/>
              </w:rPr>
              <w:t>EXERCISED</w:t>
            </w:r>
          </w:p>
        </w:tc>
        <w:tc>
          <w:tcPr>
            <w:tcW w:w="140" w:type="dxa"/>
            <w:vAlign w:val="bottom"/>
          </w:tcPr>
          <w:p>
            <w:pPr>
              <w:spacing w:after="0"/>
              <w:rPr>
                <w:sz w:val="11"/>
                <w:szCs w:val="11"/>
                <w:color w:val="auto"/>
              </w:rPr>
            </w:pPr>
          </w:p>
        </w:tc>
        <w:tc>
          <w:tcPr>
            <w:tcW w:w="1100" w:type="dxa"/>
            <w:vAlign w:val="bottom"/>
            <w:gridSpan w:val="4"/>
          </w:tcPr>
          <w:p>
            <w:pPr>
              <w:jc w:val="center"/>
              <w:ind w:right="182"/>
              <w:spacing w:after="0" w:line="135" w:lineRule="exact"/>
              <w:rPr>
                <w:sz w:val="20"/>
                <w:szCs w:val="20"/>
                <w:color w:val="auto"/>
              </w:rPr>
            </w:pPr>
            <w:r>
              <w:rPr>
                <w:rFonts w:ascii="Arial" w:cs="Arial" w:eastAsia="Arial" w:hAnsi="Arial"/>
                <w:sz w:val="12"/>
                <w:szCs w:val="12"/>
                <w:b w:val="1"/>
                <w:bCs w:val="1"/>
                <w:color w:val="auto"/>
                <w:w w:val="97"/>
              </w:rPr>
              <w:t>OUTSTANDING</w:t>
            </w:r>
          </w:p>
        </w:tc>
        <w:tc>
          <w:tcPr>
            <w:tcW w:w="94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w w:val="98"/>
              </w:rPr>
              <w:t>EXERCISABLE</w:t>
            </w:r>
          </w:p>
        </w:tc>
        <w:tc>
          <w:tcPr>
            <w:tcW w:w="16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ARE MET</w:t>
            </w:r>
          </w:p>
        </w:tc>
        <w:tc>
          <w:tcPr>
            <w:tcW w:w="0" w:type="dxa"/>
            <w:vAlign w:val="bottom"/>
          </w:tcPr>
          <w:p>
            <w:pPr>
              <w:spacing w:after="0"/>
              <w:rPr>
                <w:sz w:val="1"/>
                <w:szCs w:val="1"/>
                <w:color w:val="auto"/>
              </w:rPr>
            </w:pPr>
          </w:p>
        </w:tc>
      </w:tr>
      <w:tr>
        <w:trPr>
          <w:trHeight w:val="157"/>
        </w:trPr>
        <w:tc>
          <w:tcPr>
            <w:tcW w:w="2240" w:type="dxa"/>
            <w:vAlign w:val="bottom"/>
            <w:gridSpan w:val="2"/>
          </w:tcPr>
          <w:p>
            <w:pPr>
              <w:ind w:left="11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5"/>
          </w:tcPr>
          <w:p>
            <w:pPr>
              <w:ind w:left="240"/>
              <w:spacing w:after="0"/>
              <w:rPr>
                <w:sz w:val="20"/>
                <w:szCs w:val="20"/>
                <w:color w:val="auto"/>
              </w:rPr>
            </w:pPr>
            <w:r>
              <w:rPr>
                <w:rFonts w:ascii="Arial" w:cs="Arial" w:eastAsia="Arial" w:hAnsi="Arial"/>
                <w:sz w:val="12"/>
                <w:szCs w:val="12"/>
                <w:b w:val="1"/>
                <w:bCs w:val="1"/>
                <w:color w:val="auto"/>
              </w:rPr>
              <w:t>TYPE</w:t>
            </w:r>
          </w:p>
        </w:tc>
        <w:tc>
          <w:tcPr>
            <w:tcW w:w="22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3"/>
              </w:rPr>
              <w:t>ISSUED</w:t>
            </w: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1, 2022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center"/>
              <w:ind w:left="154"/>
              <w:spacing w:after="0"/>
              <w:rPr>
                <w:sz w:val="20"/>
                <w:szCs w:val="20"/>
                <w:color w:val="auto"/>
              </w:rPr>
            </w:pPr>
            <w:r>
              <w:rPr>
                <w:rFonts w:ascii="Arial" w:cs="Arial" w:eastAsia="Arial" w:hAnsi="Arial"/>
                <w:sz w:val="12"/>
                <w:szCs w:val="12"/>
                <w:b w:val="1"/>
                <w:bCs w:val="1"/>
                <w:color w:val="auto"/>
                <w:w w:val="93"/>
              </w:rPr>
              <w:t>BCEs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BCEs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8"/>
          </w:tcPr>
          <w:p>
            <w:pPr>
              <w:ind w:left="140"/>
              <w:spacing w:after="0"/>
              <w:rPr>
                <w:sz w:val="20"/>
                <w:szCs w:val="20"/>
                <w:color w:val="auto"/>
              </w:rPr>
            </w:pPr>
            <w:r>
              <w:rPr>
                <w:rFonts w:ascii="Arial" w:cs="Arial" w:eastAsia="Arial" w:hAnsi="Arial"/>
                <w:sz w:val="12"/>
                <w:szCs w:val="12"/>
                <w:b w:val="1"/>
                <w:bCs w:val="1"/>
                <w:color w:val="auto"/>
              </w:rPr>
              <w:t>AS OF DECEMBER 31, 2022</w:t>
            </w:r>
          </w:p>
        </w:tc>
        <w:tc>
          <w:tcPr>
            <w:tcW w:w="0" w:type="dxa"/>
            <w:vAlign w:val="bottom"/>
          </w:tcPr>
          <w:p>
            <w:pPr>
              <w:spacing w:after="0"/>
              <w:rPr>
                <w:sz w:val="1"/>
                <w:szCs w:val="1"/>
                <w:color w:val="auto"/>
              </w:rPr>
            </w:pPr>
          </w:p>
        </w:tc>
      </w:tr>
      <w:tr>
        <w:trPr>
          <w:trHeight w:val="142"/>
        </w:trPr>
        <w:tc>
          <w:tcPr>
            <w:tcW w:w="2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2014-03-11</w:t>
            </w:r>
          </w:p>
        </w:tc>
        <w:tc>
          <w:tcPr>
            <w:tcW w:w="2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4"/>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BCE-2014-2</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2,750</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lef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2"/>
              </w:rPr>
              <w:t>—  </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ind w:left="500"/>
              <w:spacing w:after="0" w:line="142" w:lineRule="exact"/>
              <w:rPr>
                <w:sz w:val="20"/>
                <w:szCs w:val="20"/>
                <w:color w:val="auto"/>
              </w:rPr>
            </w:pPr>
            <w:r>
              <w:rPr>
                <w:rFonts w:ascii="Arial" w:cs="Arial" w:eastAsia="Arial" w:hAnsi="Arial"/>
                <w:sz w:val="14"/>
                <w:szCs w:val="14"/>
                <w:color w:val="auto"/>
                <w:w w:val="80"/>
              </w:rPr>
              <w:t>—  </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gridSpan w:val="4"/>
            <w:shd w:val="clear" w:color="auto" w:fill="CCEEFF"/>
          </w:tcPr>
          <w:p>
            <w:pPr>
              <w:jc w:val="right"/>
              <w:ind w:right="182"/>
              <w:spacing w:after="0" w:line="142" w:lineRule="exact"/>
              <w:rPr>
                <w:sz w:val="20"/>
                <w:szCs w:val="20"/>
                <w:color w:val="auto"/>
              </w:rPr>
            </w:pPr>
            <w:r>
              <w:rPr>
                <w:rFonts w:ascii="Arial" w:cs="Arial" w:eastAsia="Arial" w:hAnsi="Arial"/>
                <w:sz w:val="14"/>
                <w:szCs w:val="14"/>
                <w:color w:val="auto"/>
              </w:rPr>
              <w:t>1,000</w:t>
            </w:r>
          </w:p>
        </w:tc>
        <w:tc>
          <w:tcPr>
            <w:tcW w:w="940" w:type="dxa"/>
            <w:vAlign w:val="bottom"/>
            <w:tcBorders>
              <w:top w:val="single" w:sz="8" w:color="auto"/>
              <w:right w:val="single" w:sz="8" w:color="CCEEFF"/>
            </w:tcBorders>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1,000</w:t>
            </w:r>
          </w:p>
        </w:tc>
        <w:tc>
          <w:tcPr>
            <w:tcW w:w="9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2014-03-11</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BCE-2014-4</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984</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tcPr>
          <w:p>
            <w:pPr>
              <w:spacing w:after="0"/>
              <w:rPr>
                <w:sz w:val="12"/>
                <w:szCs w:val="12"/>
                <w:color w:val="auto"/>
              </w:rPr>
            </w:pPr>
          </w:p>
        </w:tc>
        <w:tc>
          <w:tcPr>
            <w:tcW w:w="88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—  </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82"/>
              <w:spacing w:after="0" w:line="149" w:lineRule="exact"/>
              <w:rPr>
                <w:sz w:val="20"/>
                <w:szCs w:val="20"/>
                <w:color w:val="auto"/>
              </w:rPr>
            </w:pPr>
            <w:r>
              <w:rPr>
                <w:rFonts w:ascii="Arial" w:cs="Arial" w:eastAsia="Arial" w:hAnsi="Arial"/>
                <w:sz w:val="14"/>
                <w:szCs w:val="14"/>
                <w:color w:val="auto"/>
              </w:rPr>
              <w:t>184</w:t>
            </w:r>
          </w:p>
        </w:tc>
        <w:tc>
          <w:tcPr>
            <w:tcW w:w="9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184</w:t>
            </w:r>
          </w:p>
        </w:tc>
        <w:tc>
          <w:tcPr>
            <w:tcW w:w="9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18,400</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2016-11-07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BCE-2016-1</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c>
          <w:tcPr>
            <w:tcW w:w="1160" w:type="dxa"/>
            <w:vAlign w:val="bottom"/>
            <w:tcBorders>
              <w:left w:val="single" w:sz="8" w:color="CCEEFF"/>
            </w:tcBorders>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22,495</w:t>
            </w:r>
          </w:p>
        </w:tc>
        <w:tc>
          <w:tcPr>
            <w:tcW w:w="94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22,495</w:t>
            </w:r>
          </w:p>
        </w:tc>
        <w:tc>
          <w:tcPr>
            <w:tcW w:w="9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22,495</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2017-01-23</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BCE-2017-1</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tcPr>
          <w:p>
            <w:pPr>
              <w:spacing w:after="0"/>
              <w:rPr>
                <w:sz w:val="12"/>
                <w:szCs w:val="12"/>
                <w:color w:val="auto"/>
              </w:rPr>
            </w:pPr>
          </w:p>
        </w:tc>
        <w:tc>
          <w:tcPr>
            <w:tcW w:w="88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tcPr>
          <w:p>
            <w:pPr>
              <w:jc w:val="right"/>
              <w:ind w:right="182"/>
              <w:spacing w:after="0" w:line="149" w:lineRule="exact"/>
              <w:rPr>
                <w:sz w:val="20"/>
                <w:szCs w:val="20"/>
                <w:color w:val="auto"/>
              </w:rPr>
            </w:pPr>
            <w:r>
              <w:rPr>
                <w:rFonts w:ascii="Arial" w:cs="Arial" w:eastAsia="Arial" w:hAnsi="Arial"/>
                <w:sz w:val="14"/>
                <w:szCs w:val="14"/>
                <w:color w:val="auto"/>
              </w:rPr>
              <w:t>67,000</w:t>
            </w:r>
          </w:p>
        </w:tc>
        <w:tc>
          <w:tcPr>
            <w:tcW w:w="9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33,313</w:t>
            </w:r>
          </w:p>
        </w:tc>
        <w:tc>
          <w:tcPr>
            <w:tcW w:w="9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BCE-2017-2</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150,000</w:t>
            </w:r>
          </w:p>
        </w:tc>
        <w:tc>
          <w:tcPr>
            <w:tcW w:w="94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75,000</w:t>
            </w:r>
          </w:p>
        </w:tc>
        <w:tc>
          <w:tcPr>
            <w:tcW w:w="9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4"/>
              </w:rPr>
              <w:t>BCE 2017-3</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101,061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tcPr>
          <w:p>
            <w:pPr>
              <w:spacing w:after="0"/>
              <w:rPr>
                <w:sz w:val="12"/>
                <w:szCs w:val="12"/>
                <w:color w:val="auto"/>
              </w:rPr>
            </w:pPr>
          </w:p>
        </w:tc>
        <w:tc>
          <w:tcPr>
            <w:tcW w:w="88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—  </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—   </w:t>
            </w:r>
          </w:p>
        </w:tc>
        <w:tc>
          <w:tcPr>
            <w:tcW w:w="4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160" w:type="dxa"/>
            <w:vAlign w:val="bottom"/>
          </w:tcPr>
          <w:p>
            <w:pPr>
              <w:spacing w:after="0"/>
              <w:rPr>
                <w:sz w:val="12"/>
                <w:szCs w:val="12"/>
                <w:color w:val="auto"/>
              </w:rPr>
            </w:pPr>
          </w:p>
        </w:tc>
        <w:tc>
          <w:tcPr>
            <w:tcW w:w="80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6"/>
              </w:rPr>
              <w:t>—  </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BCE-2017-4</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67,373</w:t>
            </w:r>
          </w:p>
        </w:tc>
        <w:tc>
          <w:tcPr>
            <w:tcW w:w="94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33,686</w:t>
            </w:r>
          </w:p>
        </w:tc>
        <w:tc>
          <w:tcPr>
            <w:tcW w:w="9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BCE-2017-5</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tcPr>
          <w:p>
            <w:pPr>
              <w:spacing w:after="0"/>
              <w:rPr>
                <w:sz w:val="12"/>
                <w:szCs w:val="12"/>
                <w:color w:val="auto"/>
              </w:rPr>
            </w:pPr>
          </w:p>
        </w:tc>
        <w:tc>
          <w:tcPr>
            <w:tcW w:w="88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tcPr>
          <w:p>
            <w:pPr>
              <w:jc w:val="right"/>
              <w:ind w:right="182"/>
              <w:spacing w:after="0" w:line="149" w:lineRule="exact"/>
              <w:rPr>
                <w:sz w:val="20"/>
                <w:szCs w:val="20"/>
                <w:color w:val="auto"/>
              </w:rPr>
            </w:pPr>
            <w:r>
              <w:rPr>
                <w:rFonts w:ascii="Arial" w:cs="Arial" w:eastAsia="Arial" w:hAnsi="Arial"/>
                <w:sz w:val="14"/>
                <w:szCs w:val="14"/>
                <w:color w:val="auto"/>
              </w:rPr>
              <w:t>64,374</w:t>
            </w:r>
          </w:p>
        </w:tc>
        <w:tc>
          <w:tcPr>
            <w:tcW w:w="9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30,686</w:t>
            </w:r>
          </w:p>
        </w:tc>
        <w:tc>
          <w:tcPr>
            <w:tcW w:w="9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2018-03-15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BCE-2018-1</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15,070</w:t>
            </w:r>
          </w:p>
        </w:tc>
        <w:tc>
          <w:tcPr>
            <w:tcW w:w="1160" w:type="dxa"/>
            <w:vAlign w:val="bottom"/>
            <w:tcBorders>
              <w:left w:val="single" w:sz="8" w:color="CCEEFF"/>
            </w:tcBorders>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(3,090)</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11,980</w:t>
            </w:r>
          </w:p>
        </w:tc>
        <w:tc>
          <w:tcPr>
            <w:tcW w:w="94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11,980</w:t>
            </w:r>
          </w:p>
        </w:tc>
        <w:tc>
          <w:tcPr>
            <w:tcW w:w="9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11,980</w:t>
            </w:r>
          </w:p>
        </w:tc>
        <w:tc>
          <w:tcPr>
            <w:tcW w:w="0" w:type="dxa"/>
            <w:vAlign w:val="bottom"/>
          </w:tcPr>
          <w:p>
            <w:pPr>
              <w:spacing w:after="0"/>
              <w:rPr>
                <w:sz w:val="1"/>
                <w:szCs w:val="1"/>
                <w:color w:val="auto"/>
              </w:rPr>
            </w:pPr>
          </w:p>
        </w:tc>
      </w:tr>
      <w:tr>
        <w:trPr>
          <w:trHeight w:val="149"/>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2018-05-21</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BCE-2018-2</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tcPr>
          <w:p>
            <w:pPr>
              <w:spacing w:after="0"/>
              <w:rPr>
                <w:sz w:val="12"/>
                <w:szCs w:val="12"/>
                <w:color w:val="auto"/>
              </w:rPr>
            </w:pPr>
          </w:p>
        </w:tc>
        <w:tc>
          <w:tcPr>
            <w:tcW w:w="88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—  </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—   </w:t>
            </w:r>
          </w:p>
        </w:tc>
        <w:tc>
          <w:tcPr>
            <w:tcW w:w="4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160" w:type="dxa"/>
            <w:vAlign w:val="bottom"/>
          </w:tcPr>
          <w:p>
            <w:pPr>
              <w:spacing w:after="0"/>
              <w:rPr>
                <w:sz w:val="12"/>
                <w:szCs w:val="12"/>
                <w:color w:val="auto"/>
              </w:rPr>
            </w:pPr>
          </w:p>
        </w:tc>
        <w:tc>
          <w:tcPr>
            <w:tcW w:w="80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6"/>
              </w:rPr>
              <w:t>—  </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2018-05-14</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BCE 2018-3</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33,687</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16,844</w:t>
            </w:r>
          </w:p>
        </w:tc>
        <w:tc>
          <w:tcPr>
            <w:tcW w:w="4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9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2018-05-14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BCE-2018-4</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16,843</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spacing w:after="0" w:line="149" w:lineRule="exact"/>
              <w:rPr>
                <w:sz w:val="20"/>
                <w:szCs w:val="20"/>
                <w:color w:val="auto"/>
              </w:rPr>
            </w:pPr>
            <w:r>
              <w:rPr>
                <w:rFonts w:ascii="Arial" w:cs="Arial" w:eastAsia="Arial" w:hAnsi="Arial"/>
                <w:sz w:val="14"/>
                <w:szCs w:val="14"/>
                <w:color w:val="auto"/>
              </w:rPr>
              <w:t>—  </w:t>
            </w:r>
          </w:p>
        </w:tc>
        <w:tc>
          <w:tcPr>
            <w:tcW w:w="100" w:type="dxa"/>
            <w:vAlign w:val="bottom"/>
          </w:tcPr>
          <w:p>
            <w:pPr>
              <w:spacing w:after="0"/>
              <w:rPr>
                <w:sz w:val="12"/>
                <w:szCs w:val="12"/>
                <w:color w:val="auto"/>
              </w:rPr>
            </w:pPr>
          </w:p>
        </w:tc>
        <w:tc>
          <w:tcPr>
            <w:tcW w:w="88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5"/>
          </w:tcPr>
          <w:p>
            <w:pPr>
              <w:jc w:val="right"/>
              <w:ind w:right="182"/>
              <w:spacing w:after="0" w:line="149" w:lineRule="exact"/>
              <w:rPr>
                <w:sz w:val="20"/>
                <w:szCs w:val="20"/>
                <w:color w:val="auto"/>
              </w:rPr>
            </w:pPr>
            <w:r>
              <w:rPr>
                <w:rFonts w:ascii="Arial" w:cs="Arial" w:eastAsia="Arial" w:hAnsi="Arial"/>
                <w:sz w:val="14"/>
                <w:szCs w:val="14"/>
                <w:color w:val="auto"/>
              </w:rPr>
              <w:t>16,843</w:t>
            </w:r>
          </w:p>
        </w:tc>
        <w:tc>
          <w:tcPr>
            <w:tcW w:w="9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8,422</w:t>
            </w:r>
          </w:p>
        </w:tc>
        <w:tc>
          <w:tcPr>
            <w:tcW w:w="9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2018-05-14</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BCE-2018-5</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6,584</w:t>
            </w:r>
          </w:p>
        </w:tc>
        <w:tc>
          <w:tcPr>
            <w:tcW w:w="1160" w:type="dxa"/>
            <w:vAlign w:val="bottom"/>
            <w:tcBorders>
              <w:left w:val="single" w:sz="8" w:color="CCEEFF"/>
            </w:tcBorders>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980" w:type="dxa"/>
            <w:vAlign w:val="bottom"/>
            <w:gridSpan w:val="4"/>
            <w:shd w:val="clear" w:color="auto" w:fill="CCEEFF"/>
          </w:tcPr>
          <w:p>
            <w:pPr>
              <w:ind w:left="560"/>
              <w:spacing w:after="0" w:line="149" w:lineRule="exact"/>
              <w:rPr>
                <w:sz w:val="20"/>
                <w:szCs w:val="20"/>
                <w:color w:val="auto"/>
              </w:rPr>
            </w:pPr>
            <w:r>
              <w:rPr>
                <w:rFonts w:ascii="Arial" w:cs="Arial" w:eastAsia="Arial" w:hAnsi="Arial"/>
                <w:sz w:val="14"/>
                <w:szCs w:val="14"/>
                <w:color w:val="auto"/>
              </w:rPr>
              <w:t>(334)</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6,000</w:t>
            </w:r>
          </w:p>
        </w:tc>
        <w:tc>
          <w:tcPr>
            <w:tcW w:w="94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6,000</w:t>
            </w:r>
          </w:p>
        </w:tc>
        <w:tc>
          <w:tcPr>
            <w:tcW w:w="9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w w:val="93"/>
              </w:rPr>
              <w:t>Total BCEs</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702,821</w:t>
            </w:r>
          </w:p>
        </w:tc>
        <w:tc>
          <w:tcPr>
            <w:tcW w:w="160" w:type="dxa"/>
            <w:vAlign w:val="bottom"/>
          </w:tcPr>
          <w:p>
            <w:pPr>
              <w:spacing w:after="0"/>
              <w:rPr>
                <w:sz w:val="13"/>
                <w:szCs w:val="13"/>
                <w:color w:val="auto"/>
              </w:rPr>
            </w:pPr>
          </w:p>
        </w:tc>
        <w:tc>
          <w:tcPr>
            <w:tcW w:w="9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429,767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(5,340)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ind w:left="460"/>
              <w:spacing w:after="0" w:line="155" w:lineRule="exact"/>
              <w:rPr>
                <w:sz w:val="20"/>
                <w:szCs w:val="20"/>
                <w:color w:val="auto"/>
              </w:rPr>
            </w:pPr>
            <w:r>
              <w:rPr>
                <w:rFonts w:ascii="Arial" w:cs="Arial" w:eastAsia="Arial" w:hAnsi="Arial"/>
                <w:sz w:val="14"/>
                <w:szCs w:val="14"/>
                <w:b w:val="1"/>
                <w:bCs w:val="1"/>
                <w:color w:val="auto"/>
                <w:w w:val="73"/>
              </w:rPr>
              <w:t>(334)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424,093</w:t>
            </w:r>
          </w:p>
        </w:tc>
        <w:tc>
          <w:tcPr>
            <w:tcW w:w="240" w:type="dxa"/>
            <w:vAlign w:val="bottom"/>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222,766</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541,309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center"/>
              <w:ind w:left="18"/>
              <w:spacing w:after="0"/>
              <w:rPr>
                <w:sz w:val="20"/>
                <w:szCs w:val="20"/>
                <w:color w:val="auto"/>
              </w:rPr>
            </w:pPr>
            <w:r>
              <w:rPr>
                <w:rFonts w:ascii="Arial" w:cs="Arial" w:eastAsia="Arial" w:hAnsi="Arial"/>
                <w:sz w:val="12"/>
                <w:szCs w:val="12"/>
                <w:b w:val="1"/>
                <w:bCs w:val="1"/>
                <w:color w:val="auto"/>
                <w:w w:val="97"/>
              </w:rPr>
              <w:t>FAIR VALUE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tcPr>
          <w:p>
            <w:pPr>
              <w:ind w:left="860"/>
              <w:spacing w:after="0"/>
              <w:rPr>
                <w:sz w:val="20"/>
                <w:szCs w:val="20"/>
                <w:color w:val="auto"/>
              </w:rPr>
            </w:pPr>
            <w:r>
              <w:rPr>
                <w:rFonts w:ascii="Arial" w:cs="Arial" w:eastAsia="Arial" w:hAnsi="Arial"/>
                <w:sz w:val="12"/>
                <w:szCs w:val="12"/>
                <w:b w:val="1"/>
                <w:bCs w:val="1"/>
                <w:color w:val="auto"/>
              </w:rPr>
              <w:t>TYPE</w:t>
            </w:r>
          </w:p>
        </w:tc>
        <w:tc>
          <w:tcPr>
            <w:tcW w:w="220" w:type="dxa"/>
            <w:vAlign w:val="bottom"/>
            <w:vMerge w:val="restart"/>
          </w:tcPr>
          <w:p>
            <w:pPr>
              <w:spacing w:after="0"/>
              <w:rPr>
                <w:sz w:val="11"/>
                <w:szCs w:val="11"/>
                <w:color w:val="auto"/>
              </w:rPr>
            </w:pPr>
          </w:p>
        </w:tc>
        <w:tc>
          <w:tcPr>
            <w:tcW w:w="1440" w:type="dxa"/>
            <w:vAlign w:val="bottom"/>
            <w:gridSpan w:val="7"/>
          </w:tcPr>
          <w:p>
            <w:pPr>
              <w:jc w:val="center"/>
              <w:ind w:right="380"/>
              <w:spacing w:after="0" w:line="135" w:lineRule="exact"/>
              <w:rPr>
                <w:sz w:val="20"/>
                <w:szCs w:val="20"/>
                <w:color w:val="auto"/>
              </w:rPr>
            </w:pPr>
            <w:r>
              <w:rPr>
                <w:rFonts w:ascii="Arial" w:cs="Arial" w:eastAsia="Arial" w:hAnsi="Arial"/>
                <w:sz w:val="12"/>
                <w:szCs w:val="12"/>
                <w:b w:val="1"/>
                <w:bCs w:val="1"/>
                <w:color w:val="auto"/>
                <w:w w:val="99"/>
              </w:rPr>
              <w:t>THE UNDERLYING</w:t>
            </w:r>
          </w:p>
        </w:tc>
        <w:tc>
          <w:tcPr>
            <w:tcW w:w="1100" w:type="dxa"/>
            <w:vAlign w:val="bottom"/>
            <w:gridSpan w:val="4"/>
          </w:tcPr>
          <w:p>
            <w:pPr>
              <w:jc w:val="right"/>
              <w:ind w:right="380"/>
              <w:spacing w:after="0" w:line="135" w:lineRule="exact"/>
              <w:rPr>
                <w:sz w:val="20"/>
                <w:szCs w:val="20"/>
                <w:color w:val="auto"/>
              </w:rPr>
            </w:pPr>
            <w:r>
              <w:rPr>
                <w:rFonts w:ascii="Arial" w:cs="Arial" w:eastAsia="Arial" w:hAnsi="Arial"/>
                <w:sz w:val="12"/>
                <w:szCs w:val="12"/>
                <w:b w:val="1"/>
                <w:bCs w:val="1"/>
                <w:color w:val="auto"/>
                <w:w w:val="97"/>
              </w:rPr>
              <w:t>FAIR VALUE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5"/>
          </w:tcPr>
          <w:p>
            <w:pPr>
              <w:jc w:val="right"/>
              <w:ind w:right="320"/>
              <w:spacing w:after="0" w:line="135" w:lineRule="exact"/>
              <w:rPr>
                <w:sz w:val="20"/>
                <w:szCs w:val="20"/>
                <w:color w:val="auto"/>
              </w:rPr>
            </w:pPr>
            <w:r>
              <w:rPr>
                <w:rFonts w:ascii="Arial" w:cs="Arial" w:eastAsia="Arial" w:hAnsi="Arial"/>
                <w:sz w:val="12"/>
                <w:szCs w:val="12"/>
                <w:b w:val="1"/>
                <w:bCs w:val="1"/>
                <w:color w:val="auto"/>
                <w:w w:val="97"/>
              </w:rPr>
              <w:t>STRIKE PRICE</w:t>
            </w:r>
          </w:p>
        </w:tc>
        <w:tc>
          <w:tcPr>
            <w:tcW w:w="980" w:type="dxa"/>
            <w:vAlign w:val="bottom"/>
            <w:gridSpan w:val="4"/>
          </w:tcPr>
          <w:p>
            <w:pPr>
              <w:jc w:val="right"/>
              <w:ind w:right="320"/>
              <w:spacing w:after="0" w:line="135" w:lineRule="exact"/>
              <w:rPr>
                <w:sz w:val="20"/>
                <w:szCs w:val="20"/>
                <w:color w:val="auto"/>
              </w:rPr>
            </w:pPr>
            <w:r>
              <w:rPr>
                <w:rFonts w:ascii="Arial" w:cs="Arial" w:eastAsia="Arial" w:hAnsi="Arial"/>
                <w:sz w:val="12"/>
                <w:szCs w:val="12"/>
                <w:b w:val="1"/>
                <w:bCs w:val="1"/>
                <w:color w:val="auto"/>
                <w:w w:val="98"/>
              </w:rPr>
              <w:t>EXPECTED</w:t>
            </w: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2"/>
                <w:szCs w:val="12"/>
                <w:b w:val="1"/>
                <w:bCs w:val="1"/>
                <w:color w:val="auto"/>
                <w:w w:val="95"/>
              </w:rPr>
              <w:t>EXPECTED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4"/>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RISK FREE</w:t>
            </w:r>
          </w:p>
        </w:tc>
        <w:tc>
          <w:tcPr>
            <w:tcW w:w="0" w:type="dxa"/>
            <w:vAlign w:val="bottom"/>
          </w:tcPr>
          <w:p>
            <w:pPr>
              <w:spacing w:after="0"/>
              <w:rPr>
                <w:sz w:val="1"/>
                <w:szCs w:val="1"/>
                <w:color w:val="auto"/>
              </w:rPr>
            </w:pPr>
          </w:p>
        </w:tc>
      </w:tr>
      <w:tr>
        <w:trPr>
          <w:trHeight w:val="143"/>
        </w:trPr>
        <w:tc>
          <w:tcPr>
            <w:tcW w:w="20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gridSpan w:val="3"/>
          </w:tcPr>
          <w:p>
            <w:pPr>
              <w:jc w:val="center"/>
              <w:ind w:left="18"/>
              <w:spacing w:after="0"/>
              <w:rPr>
                <w:sz w:val="20"/>
                <w:szCs w:val="20"/>
                <w:color w:val="auto"/>
              </w:rPr>
            </w:pPr>
            <w:r>
              <w:rPr>
                <w:rFonts w:ascii="Arial" w:cs="Arial" w:eastAsia="Arial" w:hAnsi="Arial"/>
                <w:sz w:val="12"/>
                <w:szCs w:val="12"/>
                <w:b w:val="1"/>
                <w:bCs w:val="1"/>
                <w:color w:val="auto"/>
                <w:w w:val="99"/>
              </w:rPr>
              <w:t>SHARE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OF THE BCE</w:t>
            </w:r>
          </w:p>
        </w:tc>
        <w:tc>
          <w:tcPr>
            <w:tcW w:w="320" w:type="dxa"/>
            <w:vAlign w:val="bottom"/>
            <w:gridSpan w:val="2"/>
          </w:tcPr>
          <w:p>
            <w:pPr>
              <w:spacing w:after="0"/>
              <w:rPr>
                <w:sz w:val="12"/>
                <w:szCs w:val="12"/>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94"/>
              </w:rPr>
              <w:t>BCE PRICE</w:t>
            </w:r>
          </w:p>
        </w:tc>
        <w:tc>
          <w:tcPr>
            <w:tcW w:w="116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PER SHARE</w:t>
            </w:r>
          </w:p>
        </w:tc>
        <w:tc>
          <w:tcPr>
            <w:tcW w:w="100" w:type="dxa"/>
            <w:vAlign w:val="bottom"/>
          </w:tcPr>
          <w:p>
            <w:pPr>
              <w:spacing w:after="0"/>
              <w:rPr>
                <w:sz w:val="12"/>
                <w:szCs w:val="12"/>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TERM</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9"/>
              </w:rPr>
              <w:t>MATURITY</w:t>
            </w:r>
          </w:p>
        </w:tc>
        <w:tc>
          <w:tcPr>
            <w:tcW w:w="260" w:type="dxa"/>
            <w:vAlign w:val="bottom"/>
          </w:tcPr>
          <w:p>
            <w:pPr>
              <w:spacing w:after="0"/>
              <w:rPr>
                <w:sz w:val="12"/>
                <w:szCs w:val="12"/>
                <w:color w:val="auto"/>
              </w:rPr>
            </w:pPr>
          </w:p>
        </w:tc>
        <w:tc>
          <w:tcPr>
            <w:tcW w:w="1180" w:type="dxa"/>
            <w:vAlign w:val="bottom"/>
            <w:gridSpan w:val="3"/>
          </w:tcPr>
          <w:p>
            <w:pPr>
              <w:jc w:val="right"/>
              <w:ind w:right="388"/>
              <w:spacing w:after="0"/>
              <w:rPr>
                <w:sz w:val="20"/>
                <w:szCs w:val="20"/>
                <w:color w:val="auto"/>
              </w:rPr>
            </w:pPr>
            <w:r>
              <w:rPr>
                <w:rFonts w:ascii="Arial" w:cs="Arial" w:eastAsia="Arial" w:hAnsi="Arial"/>
                <w:sz w:val="12"/>
                <w:szCs w:val="12"/>
                <w:b w:val="1"/>
                <w:bCs w:val="1"/>
                <w:color w:val="auto"/>
                <w:w w:val="99"/>
              </w:rPr>
              <w:t>VOLATILITY</w:t>
            </w:r>
          </w:p>
        </w:tc>
        <w:tc>
          <w:tcPr>
            <w:tcW w:w="160" w:type="dxa"/>
            <w:vAlign w:val="bottom"/>
          </w:tcPr>
          <w:p>
            <w:pPr>
              <w:spacing w:after="0"/>
              <w:rPr>
                <w:sz w:val="12"/>
                <w:szCs w:val="12"/>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7"/>
              </w:rPr>
              <w:t>RATE</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BCE-2014-4</w:t>
            </w:r>
          </w:p>
        </w:tc>
        <w:tc>
          <w:tcPr>
            <w:tcW w:w="220" w:type="dxa"/>
            <w:vAlign w:val="bottom"/>
            <w:vMerge w:val="continue"/>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vMerge w:val="continue"/>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0.54 €</w:t>
            </w:r>
          </w:p>
        </w:tc>
        <w:tc>
          <w:tcPr>
            <w:tcW w:w="320" w:type="dxa"/>
            <w:vAlign w:val="bottom"/>
            <w:gridSpan w:val="2"/>
            <w:vMerge w:val="continue"/>
            <w:shd w:val="clear" w:color="auto" w:fill="CCEEFF"/>
          </w:tcPr>
          <w:p>
            <w:pPr>
              <w:spacing w:after="0"/>
              <w:rPr>
                <w:sz w:val="11"/>
                <w:szCs w:val="11"/>
                <w:color w:val="auto"/>
              </w:rPr>
            </w:pPr>
          </w:p>
        </w:tc>
        <w:tc>
          <w:tcPr>
            <w:tcW w:w="640" w:type="dxa"/>
            <w:vAlign w:val="bottom"/>
            <w:tcBorders>
              <w:lef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0.00 €</w:t>
            </w:r>
          </w:p>
        </w:tc>
        <w:tc>
          <w:tcPr>
            <w:tcW w:w="320" w:type="dxa"/>
            <w:vAlign w:val="bottom"/>
            <w:gridSpan w:val="2"/>
            <w:vMerge w:val="continue"/>
            <w:shd w:val="clear" w:color="auto" w:fill="CCEEFF"/>
          </w:tcPr>
          <w:p>
            <w:pPr>
              <w:spacing w:after="0"/>
              <w:rPr>
                <w:sz w:val="11"/>
                <w:szCs w:val="11"/>
                <w:color w:val="auto"/>
              </w:rPr>
            </w:pPr>
          </w:p>
        </w:tc>
        <w:tc>
          <w:tcPr>
            <w:tcW w:w="760" w:type="dxa"/>
            <w:vAlign w:val="bottom"/>
            <w:tcBorders>
              <w:left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 years</w:t>
            </w:r>
          </w:p>
        </w:tc>
        <w:tc>
          <w:tcPr>
            <w:tcW w:w="320" w:type="dxa"/>
            <w:vAlign w:val="bottom"/>
            <w:gridSpan w:val="2"/>
            <w:vMerge w:val="continue"/>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100" w:type="dxa"/>
            <w:vAlign w:val="bottom"/>
            <w:vMerge w:val="continue"/>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8"/>
              <w:spacing w:after="0" w:line="129" w:lineRule="exact"/>
              <w:rPr>
                <w:sz w:val="20"/>
                <w:szCs w:val="20"/>
                <w:color w:val="auto"/>
              </w:rPr>
            </w:pPr>
            <w:r>
              <w:rPr>
                <w:rFonts w:ascii="Arial" w:cs="Arial" w:eastAsia="Arial" w:hAnsi="Arial"/>
                <w:sz w:val="13"/>
                <w:szCs w:val="13"/>
                <w:color w:val="auto"/>
              </w:rPr>
              <w:t>47%</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1.77%</w:t>
            </w:r>
          </w:p>
        </w:tc>
        <w:tc>
          <w:tcPr>
            <w:tcW w:w="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BCE-2016-1</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6.96</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[2.77€-3.15€]</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7.44</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9"/>
              </w:rPr>
              <w:t>[-0.1%-0.18%]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BCE-2017-1</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5.95</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[2.38€-2.72€]</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6.39</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[5.5-7.05]</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[0.11%-0.44%]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BCE-2017-2</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[4.01€-4.56€]</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9"/>
              </w:rPr>
              <w:t>[-0.14%-0.1%]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 2017-3</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[3.83€-4.56€]</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[5.04-7]</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9"/>
              </w:rPr>
              <w:t>[-0.21%-0.1%]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BCE-2017-4</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[4.01€-4.43€]</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[5.5-6.64]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1"/>
              </w:rPr>
              <w:t>[-0.14%-0.04%]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BCE-2017-5</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[3.92€-4.43€]</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[5.26-6.64]</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[-0.18%-0.04%]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BCE-2018-1</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9.00</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[3.81€-4.28€]</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8.96</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6"/>
              </w:rPr>
              <w:t>[0.14%-0.37%]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BCE-2018-2</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7.00</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[2.31€-3.11€]</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8.96</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[5-8.06]</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8"/>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[0.05%-0.53%]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BCE 2018-3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380"/>
              <w:spacing w:after="0" w:line="149" w:lineRule="exact"/>
              <w:rPr>
                <w:sz w:val="20"/>
                <w:szCs w:val="20"/>
                <w:color w:val="auto"/>
              </w:rPr>
            </w:pPr>
            <w:r>
              <w:rPr>
                <w:rFonts w:ascii="Arial" w:cs="Arial" w:eastAsia="Arial" w:hAnsi="Arial"/>
                <w:sz w:val="14"/>
                <w:szCs w:val="14"/>
                <w:color w:val="auto"/>
              </w:rPr>
              <w:t>7.03 €</w:t>
            </w:r>
          </w:p>
        </w:tc>
        <w:tc>
          <w:tcPr>
            <w:tcW w:w="110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w w:val="92"/>
              </w:rPr>
              <w:t>[2.75€-3.11€]</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0.00 €</w:t>
            </w:r>
          </w:p>
        </w:tc>
        <w:tc>
          <w:tcPr>
            <w:tcW w:w="240" w:type="dxa"/>
            <w:vAlign w:val="bottom"/>
          </w:tcPr>
          <w:p>
            <w:pPr>
              <w:spacing w:after="0"/>
              <w:rPr>
                <w:sz w:val="12"/>
                <w:szCs w:val="12"/>
                <w:color w:val="auto"/>
              </w:rPr>
            </w:pPr>
          </w:p>
        </w:tc>
        <w:tc>
          <w:tcPr>
            <w:tcW w:w="92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7.33 €</w:t>
            </w:r>
          </w:p>
        </w:tc>
        <w:tc>
          <w:tcPr>
            <w:tcW w:w="10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10 years</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47%</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7"/>
              </w:rPr>
              <w:t>[0.08%-0.3%]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BCE-2018-4</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7.03 €</w:t>
            </w:r>
          </w:p>
        </w:tc>
        <w:tc>
          <w:tcPr>
            <w:tcW w:w="110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[2.75€-3.11€]</w:t>
            </w:r>
          </w:p>
        </w:tc>
        <w:tc>
          <w:tcPr>
            <w:tcW w:w="960" w:type="dxa"/>
            <w:vAlign w:val="bottom"/>
            <w:tcBorders>
              <w:lef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0.00 €</w:t>
            </w:r>
          </w:p>
        </w:tc>
        <w:tc>
          <w:tcPr>
            <w:tcW w:w="24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7.33 €</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 years</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[5-6.4]</w:t>
            </w: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47%</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[0.08%-0.3%]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gridSpan w:val="2"/>
          </w:tcPr>
          <w:p>
            <w:pPr>
              <w:spacing w:after="0"/>
              <w:rPr>
                <w:sz w:val="20"/>
                <w:szCs w:val="20"/>
                <w:color w:val="auto"/>
              </w:rPr>
            </w:pPr>
            <w:r>
              <w:rPr>
                <w:rFonts w:ascii="Arial" w:cs="Arial" w:eastAsia="Arial" w:hAnsi="Arial"/>
                <w:sz w:val="14"/>
                <w:szCs w:val="14"/>
                <w:color w:val="auto"/>
              </w:rPr>
              <w:t>BCE-2018-5</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5"/>
          </w:tcPr>
          <w:p>
            <w:pPr>
              <w:jc w:val="right"/>
              <w:ind w:right="380"/>
              <w:spacing w:after="0"/>
              <w:rPr>
                <w:sz w:val="20"/>
                <w:szCs w:val="20"/>
                <w:color w:val="auto"/>
              </w:rPr>
            </w:pPr>
            <w:r>
              <w:rPr>
                <w:rFonts w:ascii="Arial" w:cs="Arial" w:eastAsia="Arial" w:hAnsi="Arial"/>
                <w:sz w:val="14"/>
                <w:szCs w:val="14"/>
                <w:color w:val="auto"/>
              </w:rPr>
              <w:t>7.03 €</w:t>
            </w:r>
          </w:p>
        </w:tc>
        <w:tc>
          <w:tcPr>
            <w:tcW w:w="1100" w:type="dxa"/>
            <w:vAlign w:val="bottom"/>
            <w:gridSpan w:val="4"/>
          </w:tcPr>
          <w:p>
            <w:pPr>
              <w:jc w:val="right"/>
              <w:ind w:right="320"/>
              <w:spacing w:after="0"/>
              <w:rPr>
                <w:sz w:val="20"/>
                <w:szCs w:val="20"/>
                <w:color w:val="auto"/>
              </w:rPr>
            </w:pPr>
            <w:r>
              <w:rPr>
                <w:rFonts w:ascii="Arial" w:cs="Arial" w:eastAsia="Arial" w:hAnsi="Arial"/>
                <w:sz w:val="14"/>
                <w:szCs w:val="14"/>
                <w:color w:val="auto"/>
                <w:w w:val="92"/>
              </w:rPr>
              <w:t>[2.88€-3.26€]</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0.00 €</w:t>
            </w:r>
          </w:p>
        </w:tc>
        <w:tc>
          <w:tcPr>
            <w:tcW w:w="240" w:type="dxa"/>
            <w:vAlign w:val="bottom"/>
          </w:tcPr>
          <w:p>
            <w:pPr>
              <w:spacing w:after="0"/>
              <w:rPr>
                <w:sz w:val="15"/>
                <w:szCs w:val="15"/>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4"/>
                <w:szCs w:val="14"/>
                <w:color w:val="auto"/>
              </w:rPr>
              <w:t>7.33 €</w:t>
            </w:r>
          </w:p>
        </w:tc>
        <w:tc>
          <w:tcPr>
            <w:tcW w:w="10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rPr>
              <w:t>10 years</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[5.5-7]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4"/>
                <w:szCs w:val="14"/>
                <w:color w:val="auto"/>
              </w:rPr>
              <w:t>47%</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[0.16%-0.39%]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BCEs include a service condition under which the beneficiary must still be an employee, a corporate officer or a scientific consultant of the Company at the time of vesting.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exercise rights for most of the BCEs are vested annually and have the following vesting terms:</w:t>
      </w:r>
    </w:p>
    <w:p>
      <w:pPr>
        <w:spacing w:after="0" w:line="131" w:lineRule="exact"/>
        <w:rPr>
          <w:sz w:val="20"/>
          <w:szCs w:val="20"/>
          <w:color w:val="auto"/>
        </w:rPr>
      </w:pPr>
    </w:p>
    <w:p>
      <w:pPr>
        <w:ind w:left="540" w:hanging="316"/>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25% of the award vests on the first anniversary of the date of grant for all currently issued BCEs;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the remaining 75% of the award, the BCEs vest 1/48th per month over four years from the anniversary date of the grant.</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Most of the BCEs plans (all BCEs plans except BCE 2014-2 fully vested as of January 1, 2020) include or partially include non-market performance conditions (obtaining financing of €100 million, positive results on clinic studies, signature of informed consent in a clinical phase, signing a license agreement, FDA authorization). The level of achievement of the non-market performance conditions are taken into account in determining the number of BCEs allocated initially and reassessed at each closing date.</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event of a change of control or a M&amp;A transaction, all the BCEs will become immediately exercisable. A change of control is defined as a new investor/company holding directly or indirectly more than 50% of the share capital or voting rights. As such the probable vesting date of each plan corresponds to the weighted average of probable change of control dates.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For BCE 2014-4, BCE 2016-1, BCE 2017-1, the vesting terms have been modified by the Board of Directors on February 14, 2020 to provide for the possible exercise of the instruments, even if the associated performance and/ or conditions included in the graded vesting schedule are not met, in case of change of control. Since this modification affects a vesting condition other than a market condition, the modified vesting condition was taken into account by adjusting the number of equity instruments that eventually vest.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BSAs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following tables summarize the data relating to BSAs in accordance with IFRS 2 –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NUMBER OF</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6"/>
              </w:rPr>
              <w:t>NUMBER OF</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4"/>
              </w:rPr>
              <w:t>SHARES TO</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BCAs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BE ISSUED IF</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NUMBER</w:t>
            </w: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9"/>
              </w:rPr>
              <w:t>NUMBER OF</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ALL</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NUMBER</w:t>
            </w: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AS OF</w:t>
            </w: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9"/>
              </w:rPr>
              <w:t>NUMBER OF</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OF</w:t>
            </w: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0"/>
              </w:rPr>
              <w:t>BSAs</w:t>
            </w: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BSAs</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CONDITIONS</w:t>
            </w:r>
          </w:p>
        </w:tc>
        <w:tc>
          <w:tcPr>
            <w:tcW w:w="0" w:type="dxa"/>
            <w:vAlign w:val="bottom"/>
          </w:tcPr>
          <w:p>
            <w:pPr>
              <w:spacing w:after="0"/>
              <w:rPr>
                <w:sz w:val="1"/>
                <w:szCs w:val="1"/>
                <w:color w:val="auto"/>
              </w:rPr>
            </w:pPr>
          </w:p>
        </w:tc>
      </w:tr>
      <w:tr>
        <w:trPr>
          <w:trHeight w:val="144"/>
        </w:trPr>
        <w:tc>
          <w:tcPr>
            <w:tcW w:w="200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GRANT DATE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OF BSAs</w:t>
            </w:r>
          </w:p>
        </w:tc>
        <w:tc>
          <w:tcPr>
            <w:tcW w:w="126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3"/>
              </w:rPr>
              <w:t>JANUARY 1,</w:t>
            </w:r>
          </w:p>
        </w:tc>
        <w:tc>
          <w:tcPr>
            <w:tcW w:w="11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4"/>
              </w:rPr>
              <w:t>LAPSED</w:t>
            </w:r>
          </w:p>
        </w:tc>
        <w:tc>
          <w:tcPr>
            <w:tcW w:w="112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5"/>
              </w:rPr>
              <w:t>EXERCISED</w:t>
            </w: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6"/>
              </w:rPr>
              <w:t>OUTSTANDING</w:t>
            </w:r>
          </w:p>
        </w:tc>
        <w:tc>
          <w:tcPr>
            <w:tcW w:w="12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7"/>
              </w:rPr>
              <w:t>EXERCISABLE</w:t>
            </w: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9"/>
              </w:rPr>
              <w:t>ARE MET</w:t>
            </w:r>
          </w:p>
        </w:tc>
        <w:tc>
          <w:tcPr>
            <w:tcW w:w="0" w:type="dxa"/>
            <w:vAlign w:val="bottom"/>
          </w:tcPr>
          <w:p>
            <w:pPr>
              <w:spacing w:after="0"/>
              <w:rPr>
                <w:sz w:val="1"/>
                <w:szCs w:val="1"/>
                <w:color w:val="auto"/>
              </w:rPr>
            </w:pPr>
          </w:p>
        </w:tc>
      </w:tr>
      <w:tr>
        <w:trPr>
          <w:trHeight w:val="153"/>
        </w:trPr>
        <w:tc>
          <w:tcPr>
            <w:tcW w:w="2000" w:type="dxa"/>
            <w:vAlign w:val="bottom"/>
            <w:gridSpan w:val="2"/>
            <w:vMerge w:val="continue"/>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TYPE</w:t>
            </w:r>
          </w:p>
        </w:tc>
        <w:tc>
          <w:tcPr>
            <w:tcW w:w="9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4"/>
              </w:rPr>
              <w:t>ISSUED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2022</w:t>
            </w:r>
          </w:p>
        </w:tc>
        <w:tc>
          <w:tcPr>
            <w:tcW w:w="3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BSAs</w:t>
            </w: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0"/>
              </w:rPr>
              <w:t>BSAs</w:t>
            </w:r>
          </w:p>
        </w:tc>
        <w:tc>
          <w:tcPr>
            <w:tcW w:w="25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AS OF DECEMBER 31, 2022</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40" w:type="dxa"/>
            <w:vAlign w:val="bottom"/>
            <w:tcBorders>
              <w:top w:val="single" w:sz="8" w:color="auto"/>
            </w:tcBorders>
            <w:shd w:val="clear" w:color="auto" w:fill="CCEEFF"/>
          </w:tcPr>
          <w:p>
            <w:pPr>
              <w:jc w:val="right"/>
              <w:ind w:right="1197"/>
              <w:spacing w:after="0" w:line="129" w:lineRule="exact"/>
              <w:rPr>
                <w:sz w:val="20"/>
                <w:szCs w:val="20"/>
                <w:color w:val="auto"/>
              </w:rPr>
            </w:pPr>
            <w:r>
              <w:rPr>
                <w:rFonts w:ascii="Arial" w:cs="Arial" w:eastAsia="Arial" w:hAnsi="Arial"/>
                <w:sz w:val="13"/>
                <w:szCs w:val="13"/>
                <w:color w:val="auto"/>
                <w:w w:val="84"/>
              </w:rPr>
              <w:t>2014-03-11</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BSA-2014-3</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1,172</w:t>
            </w: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680</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ind w:left="580"/>
              <w:spacing w:after="0" w:line="129" w:lineRule="exact"/>
              <w:rPr>
                <w:sz w:val="20"/>
                <w:szCs w:val="20"/>
                <w:color w:val="auto"/>
              </w:rPr>
            </w:pPr>
            <w:r>
              <w:rPr>
                <w:rFonts w:ascii="Arial" w:cs="Arial" w:eastAsia="Arial" w:hAnsi="Arial"/>
                <w:sz w:val="13"/>
                <w:szCs w:val="13"/>
                <w:color w:val="auto"/>
                <w:w w:val="77"/>
              </w:rPr>
              <w:t>—  </w:t>
            </w:r>
          </w:p>
        </w:tc>
        <w:tc>
          <w:tcPr>
            <w:tcW w:w="3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w:t>
            </w:r>
          </w:p>
        </w:tc>
        <w:tc>
          <w:tcPr>
            <w:tcW w:w="3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rPr>
              <w:t>492</w:t>
            </w:r>
          </w:p>
        </w:tc>
        <w:tc>
          <w:tcPr>
            <w:tcW w:w="1260" w:type="dxa"/>
            <w:vAlign w:val="bottom"/>
            <w:tcBorders>
              <w:top w:val="single" w:sz="8" w:color="auto"/>
            </w:tcBorders>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rPr>
              <w:t>492</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49,200</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jc w:val="right"/>
              <w:ind w:right="1197"/>
              <w:spacing w:after="0" w:line="135" w:lineRule="exact"/>
              <w:rPr>
                <w:sz w:val="20"/>
                <w:szCs w:val="20"/>
                <w:color w:val="auto"/>
              </w:rPr>
            </w:pPr>
            <w:r>
              <w:rPr>
                <w:rFonts w:ascii="Arial" w:cs="Arial" w:eastAsia="Arial" w:hAnsi="Arial"/>
                <w:sz w:val="13"/>
                <w:szCs w:val="13"/>
                <w:color w:val="auto"/>
                <w:w w:val="84"/>
              </w:rPr>
              <w:t>2015-12-04</w:t>
            </w:r>
          </w:p>
        </w:tc>
        <w:tc>
          <w:tcPr>
            <w:tcW w:w="16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94"/>
              </w:rPr>
              <w:t>BSA-2015-11</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96,924</w:t>
            </w:r>
          </w:p>
        </w:tc>
        <w:tc>
          <w:tcPr>
            <w:tcW w:w="300" w:type="dxa"/>
            <w:vAlign w:val="bottom"/>
          </w:tcPr>
          <w:p>
            <w:pPr>
              <w:spacing w:after="0"/>
              <w:rPr>
                <w:sz w:val="11"/>
                <w:szCs w:val="11"/>
                <w:color w:val="auto"/>
              </w:rPr>
            </w:pPr>
          </w:p>
        </w:tc>
        <w:tc>
          <w:tcPr>
            <w:tcW w:w="12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96,924</w:t>
            </w:r>
          </w:p>
        </w:tc>
        <w:tc>
          <w:tcPr>
            <w:tcW w:w="112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—  </w:t>
            </w:r>
          </w:p>
        </w:tc>
        <w:tc>
          <w:tcPr>
            <w:tcW w:w="11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—  </w:t>
            </w: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96,924</w:t>
            </w: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96,924</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96,924</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jc w:val="right"/>
              <w:ind w:right="1197"/>
              <w:spacing w:after="0" w:line="135" w:lineRule="exact"/>
              <w:rPr>
                <w:sz w:val="20"/>
                <w:szCs w:val="20"/>
                <w:color w:val="auto"/>
              </w:rPr>
            </w:pPr>
            <w:r>
              <w:rPr>
                <w:rFonts w:ascii="Arial" w:cs="Arial" w:eastAsia="Arial" w:hAnsi="Arial"/>
                <w:sz w:val="13"/>
                <w:szCs w:val="13"/>
                <w:color w:val="auto"/>
                <w:w w:val="84"/>
              </w:rPr>
              <w:t>2015-12-04</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4"/>
              </w:rPr>
              <w:t>BSA-2015-12</w:t>
            </w: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82,000</w:t>
            </w: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16,400</w:t>
            </w:r>
          </w:p>
        </w:tc>
        <w:tc>
          <w:tcPr>
            <w:tcW w:w="112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—  </w:t>
            </w:r>
          </w:p>
        </w:tc>
        <w:tc>
          <w:tcPr>
            <w:tcW w:w="11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—  </w:t>
            </w:r>
          </w:p>
        </w:tc>
        <w:tc>
          <w:tcPr>
            <w:tcW w:w="12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2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35"/>
        </w:trPr>
        <w:tc>
          <w:tcPr>
            <w:tcW w:w="1840" w:type="dxa"/>
            <w:vAlign w:val="bottom"/>
          </w:tcPr>
          <w:p>
            <w:pPr>
              <w:jc w:val="right"/>
              <w:ind w:right="1197"/>
              <w:spacing w:after="0" w:line="135" w:lineRule="exact"/>
              <w:rPr>
                <w:sz w:val="20"/>
                <w:szCs w:val="20"/>
                <w:color w:val="auto"/>
              </w:rPr>
            </w:pPr>
            <w:r>
              <w:rPr>
                <w:rFonts w:ascii="Arial" w:cs="Arial" w:eastAsia="Arial" w:hAnsi="Arial"/>
                <w:sz w:val="13"/>
                <w:szCs w:val="13"/>
                <w:color w:val="auto"/>
                <w:w w:val="84"/>
              </w:rPr>
              <w:t>2017-09-18</w:t>
            </w:r>
          </w:p>
        </w:tc>
        <w:tc>
          <w:tcPr>
            <w:tcW w:w="16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BSA-2017-1</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16,400</w:t>
            </w:r>
          </w:p>
        </w:tc>
        <w:tc>
          <w:tcPr>
            <w:tcW w:w="300" w:type="dxa"/>
            <w:vAlign w:val="bottom"/>
          </w:tcPr>
          <w:p>
            <w:pPr>
              <w:spacing w:after="0"/>
              <w:rPr>
                <w:sz w:val="11"/>
                <w:szCs w:val="11"/>
                <w:color w:val="auto"/>
              </w:rPr>
            </w:pPr>
          </w:p>
        </w:tc>
        <w:tc>
          <w:tcPr>
            <w:tcW w:w="12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16,400</w:t>
            </w:r>
          </w:p>
        </w:tc>
        <w:tc>
          <w:tcPr>
            <w:tcW w:w="112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—  </w:t>
            </w:r>
          </w:p>
        </w:tc>
        <w:tc>
          <w:tcPr>
            <w:tcW w:w="11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—  </w:t>
            </w: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jc w:val="right"/>
              <w:ind w:right="1197"/>
              <w:spacing w:after="0" w:line="135" w:lineRule="exact"/>
              <w:rPr>
                <w:sz w:val="20"/>
                <w:szCs w:val="20"/>
                <w:color w:val="auto"/>
              </w:rPr>
            </w:pPr>
            <w:r>
              <w:rPr>
                <w:rFonts w:ascii="Arial" w:cs="Arial" w:eastAsia="Arial" w:hAnsi="Arial"/>
                <w:sz w:val="13"/>
                <w:szCs w:val="13"/>
                <w:color w:val="auto"/>
                <w:w w:val="84"/>
              </w:rPr>
              <w:t>2018-01-22</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BSA-2018-1</w:t>
            </w: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49,200</w:t>
            </w: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16,400</w:t>
            </w:r>
          </w:p>
        </w:tc>
        <w:tc>
          <w:tcPr>
            <w:tcW w:w="112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—  </w:t>
            </w:r>
          </w:p>
        </w:tc>
        <w:tc>
          <w:tcPr>
            <w:tcW w:w="11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—  </w:t>
            </w:r>
          </w:p>
        </w:tc>
        <w:tc>
          <w:tcPr>
            <w:tcW w:w="12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2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35"/>
        </w:trPr>
        <w:tc>
          <w:tcPr>
            <w:tcW w:w="1840" w:type="dxa"/>
            <w:vAlign w:val="bottom"/>
          </w:tcPr>
          <w:p>
            <w:pPr>
              <w:jc w:val="right"/>
              <w:ind w:right="1197"/>
              <w:spacing w:after="0" w:line="135" w:lineRule="exact"/>
              <w:rPr>
                <w:sz w:val="20"/>
                <w:szCs w:val="20"/>
                <w:color w:val="auto"/>
              </w:rPr>
            </w:pPr>
            <w:r>
              <w:rPr>
                <w:rFonts w:ascii="Arial" w:cs="Arial" w:eastAsia="Arial" w:hAnsi="Arial"/>
                <w:sz w:val="13"/>
                <w:szCs w:val="13"/>
                <w:color w:val="auto"/>
                <w:w w:val="84"/>
              </w:rPr>
              <w:t>2014-03-11</w:t>
            </w:r>
          </w:p>
        </w:tc>
        <w:tc>
          <w:tcPr>
            <w:tcW w:w="16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BSA-2014-4</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1,315</w:t>
            </w:r>
          </w:p>
        </w:tc>
        <w:tc>
          <w:tcPr>
            <w:tcW w:w="300" w:type="dxa"/>
            <w:vAlign w:val="bottom"/>
          </w:tcPr>
          <w:p>
            <w:pPr>
              <w:spacing w:after="0"/>
              <w:rPr>
                <w:sz w:val="11"/>
                <w:szCs w:val="11"/>
                <w:color w:val="auto"/>
              </w:rPr>
            </w:pPr>
          </w:p>
        </w:tc>
        <w:tc>
          <w:tcPr>
            <w:tcW w:w="12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842</w:t>
            </w:r>
          </w:p>
        </w:tc>
        <w:tc>
          <w:tcPr>
            <w:tcW w:w="112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—  </w:t>
            </w:r>
          </w:p>
        </w:tc>
        <w:tc>
          <w:tcPr>
            <w:tcW w:w="11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—  </w:t>
            </w: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842</w:t>
            </w: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84,160</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jc w:val="right"/>
              <w:ind w:right="1197"/>
              <w:spacing w:after="0" w:line="135" w:lineRule="exact"/>
              <w:rPr>
                <w:sz w:val="20"/>
                <w:szCs w:val="20"/>
                <w:color w:val="auto"/>
              </w:rPr>
            </w:pPr>
            <w:r>
              <w:rPr>
                <w:rFonts w:ascii="Arial" w:cs="Arial" w:eastAsia="Arial" w:hAnsi="Arial"/>
                <w:sz w:val="13"/>
                <w:szCs w:val="13"/>
                <w:color w:val="auto"/>
                <w:w w:val="84"/>
              </w:rPr>
              <w:t>2014-03-11</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BSA-2014-5</w:t>
            </w: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787</w:t>
            </w: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459</w:t>
            </w:r>
          </w:p>
        </w:tc>
        <w:tc>
          <w:tcPr>
            <w:tcW w:w="112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—  </w:t>
            </w:r>
          </w:p>
        </w:tc>
        <w:tc>
          <w:tcPr>
            <w:tcW w:w="11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—  </w:t>
            </w:r>
          </w:p>
        </w:tc>
        <w:tc>
          <w:tcPr>
            <w:tcW w:w="12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459</w:t>
            </w:r>
          </w:p>
        </w:tc>
        <w:tc>
          <w:tcPr>
            <w:tcW w:w="12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459</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45,900</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Total BSAs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247,798</w:t>
            </w: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148,105</w:t>
            </w:r>
          </w:p>
        </w:tc>
        <w:tc>
          <w:tcPr>
            <w:tcW w:w="34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3"/>
                <w:szCs w:val="13"/>
                <w:b w:val="1"/>
                <w:bCs w:val="1"/>
                <w:color w:val="auto"/>
                <w:w w:val="77"/>
              </w:rPr>
              <w:t>—  </w:t>
            </w:r>
          </w:p>
        </w:tc>
        <w:tc>
          <w:tcPr>
            <w:tcW w:w="3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(188)</w:t>
            </w:r>
          </w:p>
        </w:tc>
        <w:tc>
          <w:tcPr>
            <w:tcW w:w="3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147,917</w:t>
            </w:r>
          </w:p>
        </w:tc>
        <w:tc>
          <w:tcPr>
            <w:tcW w:w="3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147,917</w:t>
            </w:r>
          </w:p>
        </w:tc>
        <w:tc>
          <w:tcPr>
            <w:tcW w:w="3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325,384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BSAs include a service condition under which the beneficiary must still be an employee, a corporate officer or a scientific consultant of the Company at the time of vesting.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exercise rights for most of the BSAs are vested annually and have the following vesting terms:</w:t>
      </w:r>
    </w:p>
    <w:p>
      <w:pPr>
        <w:spacing w:after="0" w:line="131"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25% of the award vests on the first anniversary of the date of grant for all currently issued BSAs;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the remaining 75% of the award, the BSAs vest 1/48th per month over four years from the anniversary date of the grant.</w:t>
      </w:r>
    </w:p>
    <w:p>
      <w:pPr>
        <w:spacing w:after="0" w:line="22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All of the BSAs plans include or partially include non-market performance conditions (positive results on clinic studies, signature of informed consent in a clinical phase, signing a license agreement, FDA authorization). The level of achievement of the non-market performance conditions are taken into account in determining the number of BSAs allocated initially and reassessed at each closing date.</w:t>
      </w:r>
    </w:p>
    <w:p>
      <w:pPr>
        <w:spacing w:after="0" w:line="16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event of a change of control or a M&amp;A transaction, all the BSAs will become immediately exercisable. A change of control is defined as a new investor/company holding directly or indirectly more than 50% of the share capital or voting rights. As such the probable vesting date of each plan corresponds to the weighted average of probable change of control dates.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For BSA 2014-5, the vesting terms have been modified by the Board of Directors of February 14, 2020 to provide for the possible exercise of the instruments, even if the associated performance and/or conditions included in the graded vesting schedule are not met, in case of change of control. Since this modification affects a vesting condition other than a market condition, the modified vesting condition was taken into account by adjusting the number of equity instruments that eventually vest.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AGAs as well as the assumptions used for the measurement thereof in accordance with IFRS 2 –</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center"/>
              <w:ind w:right="290"/>
              <w:spacing w:after="0"/>
              <w:rPr>
                <w:sz w:val="20"/>
                <w:szCs w:val="20"/>
                <w:color w:val="auto"/>
              </w:rPr>
            </w:pPr>
            <w:r>
              <w:rPr>
                <w:rFonts w:ascii="Arial" w:cs="Arial" w:eastAsia="Arial" w:hAnsi="Arial"/>
                <w:sz w:val="13"/>
                <w:szCs w:val="13"/>
                <w:b w:val="1"/>
                <w:bCs w:val="1"/>
                <w:color w:val="auto"/>
                <w:w w:val="94"/>
              </w:rPr>
              <w:t>NUMBER OF AGAs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NUMBER OF AGAs</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center"/>
              <w:ind w:right="290"/>
              <w:spacing w:after="0" w:line="135" w:lineRule="exact"/>
              <w:rPr>
                <w:sz w:val="20"/>
                <w:szCs w:val="20"/>
                <w:color w:val="auto"/>
              </w:rPr>
            </w:pPr>
            <w:r>
              <w:rPr>
                <w:rFonts w:ascii="Arial" w:cs="Arial" w:eastAsia="Arial" w:hAnsi="Arial"/>
                <w:sz w:val="13"/>
                <w:szCs w:val="13"/>
                <w:b w:val="1"/>
                <w:bCs w:val="1"/>
                <w:color w:val="auto"/>
                <w:w w:val="95"/>
              </w:rPr>
              <w:t>OUTSTANDING AS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OUTSTANDING AS</w:t>
            </w:r>
          </w:p>
        </w:tc>
        <w:tc>
          <w:tcPr>
            <w:tcW w:w="0" w:type="dxa"/>
            <w:vAlign w:val="bottom"/>
          </w:tcPr>
          <w:p>
            <w:pPr>
              <w:spacing w:after="0"/>
              <w:rPr>
                <w:sz w:val="1"/>
                <w:szCs w:val="1"/>
                <w:color w:val="auto"/>
              </w:rPr>
            </w:pPr>
          </w:p>
        </w:tc>
      </w:tr>
      <w:tr>
        <w:trPr>
          <w:trHeight w:val="135"/>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GRANT DATE</w:t>
            </w:r>
          </w:p>
        </w:tc>
        <w:tc>
          <w:tcPr>
            <w:tcW w:w="1020" w:type="dxa"/>
            <w:vAlign w:val="bottom"/>
            <w:vMerge w:val="restart"/>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NUMBER OF</w:t>
            </w:r>
          </w:p>
        </w:tc>
        <w:tc>
          <w:tcPr>
            <w:tcW w:w="1500" w:type="dxa"/>
            <w:vAlign w:val="bottom"/>
            <w:gridSpan w:val="3"/>
          </w:tcPr>
          <w:p>
            <w:pPr>
              <w:jc w:val="center"/>
              <w:ind w:right="290"/>
              <w:spacing w:after="0" w:line="135" w:lineRule="exact"/>
              <w:rPr>
                <w:sz w:val="20"/>
                <w:szCs w:val="20"/>
                <w:color w:val="auto"/>
              </w:rPr>
            </w:pPr>
            <w:r>
              <w:rPr>
                <w:rFonts w:ascii="Arial" w:cs="Arial" w:eastAsia="Arial" w:hAnsi="Arial"/>
                <w:sz w:val="13"/>
                <w:szCs w:val="13"/>
                <w:b w:val="1"/>
                <w:bCs w:val="1"/>
                <w:color w:val="auto"/>
                <w:w w:val="92"/>
              </w:rPr>
              <w:t>OF JANUARY 1,</w:t>
            </w: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1580" w:type="dxa"/>
            <w:vAlign w:val="bottom"/>
            <w:gridSpan w:val="5"/>
          </w:tcPr>
          <w:p>
            <w:pPr>
              <w:jc w:val="center"/>
              <w:ind w:right="46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OF DECEMBER 31,</w:t>
            </w:r>
          </w:p>
        </w:tc>
        <w:tc>
          <w:tcPr>
            <w:tcW w:w="0" w:type="dxa"/>
            <w:vAlign w:val="bottom"/>
          </w:tcPr>
          <w:p>
            <w:pPr>
              <w:spacing w:after="0"/>
              <w:rPr>
                <w:sz w:val="1"/>
                <w:szCs w:val="1"/>
                <w:color w:val="auto"/>
              </w:rPr>
            </w:pPr>
          </w:p>
        </w:tc>
      </w:tr>
      <w:tr>
        <w:trPr>
          <w:trHeight w:val="145"/>
        </w:trPr>
        <w:tc>
          <w:tcPr>
            <w:tcW w:w="840" w:type="dxa"/>
            <w:vAlign w:val="bottom"/>
            <w:tcBorders>
              <w:bottom w:val="single" w:sz="8" w:color="auto"/>
            </w:tcBorders>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jc w:val="center"/>
              <w:ind w:left="39"/>
              <w:spacing w:after="0" w:line="140" w:lineRule="exact"/>
              <w:rPr>
                <w:sz w:val="20"/>
                <w:szCs w:val="20"/>
                <w:color w:val="auto"/>
              </w:rPr>
            </w:pPr>
            <w:r>
              <w:rPr>
                <w:rFonts w:ascii="Arial" w:cs="Arial" w:eastAsia="Arial" w:hAnsi="Arial"/>
                <w:sz w:val="13"/>
                <w:szCs w:val="13"/>
                <w:b w:val="1"/>
                <w:bCs w:val="1"/>
                <w:color w:val="auto"/>
                <w:w w:val="99"/>
              </w:rPr>
              <w:t>TYPE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5"/>
          </w:tcPr>
          <w:p>
            <w:pPr>
              <w:jc w:val="right"/>
              <w:ind w:right="370"/>
              <w:spacing w:after="0" w:line="140" w:lineRule="exact"/>
              <w:rPr>
                <w:sz w:val="20"/>
                <w:szCs w:val="20"/>
                <w:color w:val="auto"/>
              </w:rPr>
            </w:pPr>
            <w:r>
              <w:rPr>
                <w:rFonts w:ascii="Arial" w:cs="Arial" w:eastAsia="Arial" w:hAnsi="Arial"/>
                <w:sz w:val="13"/>
                <w:szCs w:val="13"/>
                <w:b w:val="1"/>
                <w:bCs w:val="1"/>
                <w:color w:val="auto"/>
                <w:w w:val="90"/>
              </w:rPr>
              <w:t>AGAs ISSUED</w:t>
            </w: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2"/>
              </w:rPr>
              <w:t>2022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0" w:lineRule="exact"/>
              <w:rPr>
                <w:sz w:val="20"/>
                <w:szCs w:val="20"/>
                <w:color w:val="auto"/>
              </w:rPr>
            </w:pPr>
            <w:r>
              <w:rPr>
                <w:rFonts w:ascii="Arial" w:cs="Arial" w:eastAsia="Arial" w:hAnsi="Arial"/>
                <w:sz w:val="13"/>
                <w:szCs w:val="13"/>
                <w:b w:val="1"/>
                <w:bCs w:val="1"/>
                <w:color w:val="auto"/>
                <w:w w:val="90"/>
              </w:rPr>
              <w:t>LAPSED AGAs</w:t>
            </w:r>
          </w:p>
        </w:tc>
        <w:tc>
          <w:tcPr>
            <w:tcW w:w="420" w:type="dxa"/>
            <w:vAlign w:val="bottom"/>
          </w:tcPr>
          <w:p>
            <w:pPr>
              <w:spacing w:after="0"/>
              <w:rPr>
                <w:sz w:val="12"/>
                <w:szCs w:val="12"/>
                <w:color w:val="auto"/>
              </w:rPr>
            </w:pPr>
          </w:p>
        </w:tc>
        <w:tc>
          <w:tcPr>
            <w:tcW w:w="1580" w:type="dxa"/>
            <w:vAlign w:val="bottom"/>
            <w:gridSpan w:val="5"/>
          </w:tcPr>
          <w:p>
            <w:pPr>
              <w:jc w:val="center"/>
              <w:ind w:right="460"/>
              <w:spacing w:after="0" w:line="140" w:lineRule="exact"/>
              <w:rPr>
                <w:sz w:val="20"/>
                <w:szCs w:val="20"/>
                <w:color w:val="auto"/>
              </w:rPr>
            </w:pPr>
            <w:r>
              <w:rPr>
                <w:rFonts w:ascii="Arial" w:cs="Arial" w:eastAsia="Arial" w:hAnsi="Arial"/>
                <w:sz w:val="13"/>
                <w:szCs w:val="13"/>
                <w:b w:val="1"/>
                <w:bCs w:val="1"/>
                <w:color w:val="auto"/>
                <w:w w:val="93"/>
              </w:rPr>
              <w:t>EXERCISED AGAs</w:t>
            </w:r>
          </w:p>
        </w:tc>
        <w:tc>
          <w:tcPr>
            <w:tcW w:w="980" w:type="dxa"/>
            <w:vAlign w:val="bottom"/>
            <w:gridSpan w:val="2"/>
          </w:tcPr>
          <w:p>
            <w:pPr>
              <w:jc w:val="center"/>
              <w:ind w:left="97"/>
              <w:spacing w:after="0" w:line="140" w:lineRule="exact"/>
              <w:rPr>
                <w:sz w:val="20"/>
                <w:szCs w:val="20"/>
                <w:color w:val="auto"/>
              </w:rPr>
            </w:pPr>
            <w:r>
              <w:rPr>
                <w:rFonts w:ascii="Arial" w:cs="Arial" w:eastAsia="Arial" w:hAnsi="Arial"/>
                <w:sz w:val="13"/>
                <w:szCs w:val="13"/>
                <w:b w:val="1"/>
                <w:bCs w:val="1"/>
                <w:color w:val="auto"/>
                <w:w w:val="89"/>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2021-09-21</w:t>
            </w:r>
          </w:p>
        </w:tc>
        <w:tc>
          <w:tcPr>
            <w:tcW w:w="7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gridSpan w:val="3"/>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AGA 2021</w:t>
            </w:r>
          </w:p>
        </w:tc>
        <w:tc>
          <w:tcPr>
            <w:tcW w:w="1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w:t>
            </w:r>
          </w:p>
        </w:tc>
        <w:tc>
          <w:tcPr>
            <w:tcW w:w="2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ind w:left="540"/>
              <w:spacing w:after="0" w:line="203" w:lineRule="exact"/>
              <w:rPr>
                <w:sz w:val="20"/>
                <w:szCs w:val="20"/>
                <w:color w:val="auto"/>
              </w:rPr>
            </w:pPr>
            <w:r>
              <w:rPr>
                <w:rFonts w:ascii="Arial" w:cs="Arial" w:eastAsia="Arial" w:hAnsi="Arial"/>
                <w:sz w:val="18"/>
                <w:szCs w:val="18"/>
                <w:i w:val="1"/>
                <w:iCs w:val="1"/>
                <w:color w:val="auto"/>
                <w:w w:val="82"/>
              </w:rPr>
              <w:t>155,000</w:t>
            </w:r>
          </w:p>
        </w:tc>
        <w:tc>
          <w:tcPr>
            <w:tcW w:w="3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w w:val="83"/>
              </w:rPr>
              <w:t>(155,000)</w:t>
            </w:r>
          </w:p>
        </w:tc>
        <w:tc>
          <w:tcPr>
            <w:tcW w:w="8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240"/>
              <w:spacing w:after="0" w:line="203" w:lineRule="exact"/>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7"/>
              </w:rPr>
              <w:t>Total AGAs</w:t>
            </w:r>
          </w:p>
        </w:tc>
        <w:tc>
          <w:tcPr>
            <w:tcW w:w="14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155,000</w:t>
            </w:r>
          </w:p>
        </w:tc>
        <w:tc>
          <w:tcPr>
            <w:tcW w:w="240" w:type="dxa"/>
            <w:vAlign w:val="bottom"/>
          </w:tcPr>
          <w:p>
            <w:pPr>
              <w:spacing w:after="0"/>
              <w:rPr>
                <w:sz w:val="20"/>
                <w:szCs w:val="20"/>
                <w:color w:val="auto"/>
              </w:rPr>
            </w:pPr>
          </w:p>
        </w:tc>
        <w:tc>
          <w:tcPr>
            <w:tcW w:w="1500" w:type="dxa"/>
            <w:vAlign w:val="bottom"/>
            <w:gridSpan w:val="3"/>
          </w:tcPr>
          <w:p>
            <w:pPr>
              <w:ind w:left="540"/>
              <w:spacing w:after="0"/>
              <w:rPr>
                <w:sz w:val="20"/>
                <w:szCs w:val="20"/>
                <w:color w:val="auto"/>
              </w:rPr>
            </w:pPr>
            <w:r>
              <w:rPr>
                <w:rFonts w:ascii="Arial" w:cs="Arial" w:eastAsia="Arial" w:hAnsi="Arial"/>
                <w:sz w:val="18"/>
                <w:szCs w:val="18"/>
                <w:i w:val="1"/>
                <w:iCs w:val="1"/>
                <w:color w:val="auto"/>
              </w:rPr>
              <w:t>155,000</w:t>
            </w:r>
          </w:p>
        </w:tc>
        <w:tc>
          <w:tcPr>
            <w:tcW w:w="1040" w:type="dxa"/>
            <w:vAlign w:val="bottom"/>
            <w:gridSpan w:val="4"/>
          </w:tcPr>
          <w:p>
            <w:pPr>
              <w:ind w:left="300"/>
              <w:spacing w:after="0"/>
              <w:rPr>
                <w:sz w:val="20"/>
                <w:szCs w:val="20"/>
                <w:color w:val="auto"/>
              </w:rPr>
            </w:pPr>
            <w:r>
              <w:rPr>
                <w:rFonts w:ascii="Arial" w:cs="Arial" w:eastAsia="Arial" w:hAnsi="Arial"/>
                <w:sz w:val="18"/>
                <w:szCs w:val="18"/>
                <w:b w:val="1"/>
                <w:bCs w:val="1"/>
                <w:color w:val="auto"/>
                <w:w w:val="93"/>
              </w:rPr>
              <w:t>(155,000)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b w:val="1"/>
                <w:bCs w:val="1"/>
                <w:color w:val="auto"/>
              </w:rPr>
              <w:t>—  </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3"/>
          </w:tcPr>
          <w:p>
            <w:pPr>
              <w:jc w:val="center"/>
              <w:ind w:right="310"/>
              <w:spacing w:after="0"/>
              <w:rPr>
                <w:sz w:val="20"/>
                <w:szCs w:val="20"/>
                <w:color w:val="auto"/>
              </w:rPr>
            </w:pPr>
            <w:r>
              <w:rPr>
                <w:rFonts w:ascii="Arial" w:cs="Arial" w:eastAsia="Arial" w:hAnsi="Arial"/>
                <w:sz w:val="13"/>
                <w:szCs w:val="13"/>
                <w:b w:val="1"/>
                <w:bCs w:val="1"/>
                <w:color w:val="auto"/>
                <w:w w:val="96"/>
              </w:rPr>
              <w:t>FAIR VALUE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4"/>
              </w:rPr>
              <w:t>TYPE</w:t>
            </w:r>
          </w:p>
        </w:tc>
        <w:tc>
          <w:tcPr>
            <w:tcW w:w="1520" w:type="dxa"/>
            <w:vAlign w:val="bottom"/>
            <w:gridSpan w:val="2"/>
            <w:vMerge w:val="restart"/>
          </w:tcPr>
          <w:p>
            <w:pPr>
              <w:spacing w:after="0"/>
              <w:rPr>
                <w:sz w:val="11"/>
                <w:szCs w:val="11"/>
                <w:color w:val="auto"/>
              </w:rPr>
            </w:pPr>
          </w:p>
        </w:tc>
        <w:tc>
          <w:tcPr>
            <w:tcW w:w="1560" w:type="dxa"/>
            <w:vAlign w:val="bottom"/>
            <w:gridSpan w:val="3"/>
          </w:tcPr>
          <w:p>
            <w:pPr>
              <w:jc w:val="center"/>
              <w:ind w:right="330"/>
              <w:spacing w:after="0" w:line="135" w:lineRule="exact"/>
              <w:rPr>
                <w:sz w:val="20"/>
                <w:szCs w:val="20"/>
                <w:color w:val="auto"/>
              </w:rPr>
            </w:pPr>
            <w:r>
              <w:rPr>
                <w:rFonts w:ascii="Arial" w:cs="Arial" w:eastAsia="Arial" w:hAnsi="Arial"/>
                <w:sz w:val="13"/>
                <w:szCs w:val="13"/>
                <w:b w:val="1"/>
                <w:bCs w:val="1"/>
                <w:color w:val="auto"/>
                <w:w w:val="98"/>
              </w:rPr>
              <w:t>THE UNDERLYING</w:t>
            </w:r>
          </w:p>
        </w:tc>
        <w:tc>
          <w:tcPr>
            <w:tcW w:w="120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FAIR VALUE</w:t>
            </w:r>
          </w:p>
        </w:tc>
        <w:tc>
          <w:tcPr>
            <w:tcW w:w="660" w:type="dxa"/>
            <w:vAlign w:val="bottom"/>
            <w:gridSpan w:val="3"/>
          </w:tcPr>
          <w:p>
            <w:pPr>
              <w:jc w:val="center"/>
              <w:ind w:right="130"/>
              <w:spacing w:after="0" w:line="135" w:lineRule="exact"/>
              <w:rPr>
                <w:sz w:val="20"/>
                <w:szCs w:val="20"/>
                <w:color w:val="auto"/>
              </w:rPr>
            </w:pPr>
            <w:r>
              <w:rPr>
                <w:rFonts w:ascii="Arial" w:cs="Arial" w:eastAsia="Arial" w:hAnsi="Arial"/>
                <w:sz w:val="13"/>
                <w:szCs w:val="13"/>
                <w:b w:val="1"/>
                <w:bCs w:val="1"/>
                <w:color w:val="auto"/>
                <w:w w:val="96"/>
              </w:rPr>
              <w:t>AGA</w:t>
            </w:r>
          </w:p>
        </w:tc>
        <w:tc>
          <w:tcPr>
            <w:tcW w:w="180" w:type="dxa"/>
            <w:vAlign w:val="bottom"/>
          </w:tcPr>
          <w:p>
            <w:pPr>
              <w:spacing w:after="0"/>
              <w:rPr>
                <w:sz w:val="11"/>
                <w:szCs w:val="11"/>
                <w:color w:val="auto"/>
              </w:rPr>
            </w:pPr>
          </w:p>
        </w:tc>
        <w:tc>
          <w:tcPr>
            <w:tcW w:w="1320" w:type="dxa"/>
            <w:vAlign w:val="bottom"/>
            <w:gridSpan w:val="2"/>
          </w:tcPr>
          <w:p>
            <w:pPr>
              <w:jc w:val="center"/>
              <w:ind w:right="330"/>
              <w:spacing w:after="0" w:line="135" w:lineRule="exact"/>
              <w:rPr>
                <w:sz w:val="20"/>
                <w:szCs w:val="20"/>
                <w:color w:val="auto"/>
              </w:rPr>
            </w:pPr>
            <w:r>
              <w:rPr>
                <w:rFonts w:ascii="Arial" w:cs="Arial" w:eastAsia="Arial" w:hAnsi="Arial"/>
                <w:sz w:val="13"/>
                <w:szCs w:val="13"/>
                <w:b w:val="1"/>
                <w:bCs w:val="1"/>
                <w:color w:val="auto"/>
                <w:w w:val="98"/>
              </w:rPr>
              <w:t>STRIKE PRICE</w:t>
            </w:r>
          </w:p>
        </w:tc>
        <w:tc>
          <w:tcPr>
            <w:tcW w:w="1040" w:type="dxa"/>
            <w:vAlign w:val="bottom"/>
            <w:gridSpan w:val="4"/>
          </w:tcPr>
          <w:p>
            <w:pPr>
              <w:jc w:val="right"/>
              <w:ind w:right="340"/>
              <w:spacing w:after="0" w:line="135" w:lineRule="exact"/>
              <w:rPr>
                <w:sz w:val="20"/>
                <w:szCs w:val="20"/>
                <w:color w:val="auto"/>
              </w:rPr>
            </w:pPr>
            <w:r>
              <w:rPr>
                <w:rFonts w:ascii="Arial" w:cs="Arial" w:eastAsia="Arial" w:hAnsi="Arial"/>
                <w:sz w:val="13"/>
                <w:szCs w:val="13"/>
                <w:b w:val="1"/>
                <w:bCs w:val="1"/>
                <w:color w:val="auto"/>
                <w:w w:val="96"/>
              </w:rPr>
              <w:t>EXPECTED</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5"/>
              </w:rPr>
              <w:t>RISK FREE</w:t>
            </w:r>
          </w:p>
        </w:tc>
        <w:tc>
          <w:tcPr>
            <w:tcW w:w="0" w:type="dxa"/>
            <w:vAlign w:val="bottom"/>
          </w:tcPr>
          <w:p>
            <w:pPr>
              <w:spacing w:after="0"/>
              <w:rPr>
                <w:sz w:val="1"/>
                <w:szCs w:val="1"/>
                <w:color w:val="auto"/>
              </w:rPr>
            </w:pPr>
          </w:p>
        </w:tc>
      </w:tr>
      <w:tr>
        <w:trPr>
          <w:trHeight w:val="145"/>
        </w:trPr>
        <w:tc>
          <w:tcPr>
            <w:tcW w:w="340" w:type="dxa"/>
            <w:vAlign w:val="bottom"/>
            <w:tcBorders>
              <w:bottom w:val="single" w:sz="8" w:color="auto"/>
            </w:tcBorders>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3"/>
          </w:tcPr>
          <w:p>
            <w:pPr>
              <w:jc w:val="center"/>
              <w:ind w:right="330"/>
              <w:spacing w:after="0" w:line="140" w:lineRule="exact"/>
              <w:rPr>
                <w:sz w:val="20"/>
                <w:szCs w:val="20"/>
                <w:color w:val="auto"/>
              </w:rPr>
            </w:pPr>
            <w:r>
              <w:rPr>
                <w:rFonts w:ascii="Arial" w:cs="Arial" w:eastAsia="Arial" w:hAnsi="Arial"/>
                <w:sz w:val="13"/>
                <w:szCs w:val="13"/>
                <w:b w:val="1"/>
                <w:bCs w:val="1"/>
                <w:color w:val="auto"/>
                <w:w w:val="92"/>
              </w:rPr>
              <w:t>SHARE</w:t>
            </w:r>
          </w:p>
        </w:tc>
        <w:tc>
          <w:tcPr>
            <w:tcW w:w="1200" w:type="dxa"/>
            <w:vAlign w:val="bottom"/>
            <w:gridSpan w:val="5"/>
          </w:tcPr>
          <w:p>
            <w:pPr>
              <w:spacing w:after="0" w:line="140" w:lineRule="exact"/>
              <w:rPr>
                <w:sz w:val="20"/>
                <w:szCs w:val="20"/>
                <w:color w:val="auto"/>
              </w:rPr>
            </w:pPr>
            <w:r>
              <w:rPr>
                <w:rFonts w:ascii="Arial" w:cs="Arial" w:eastAsia="Arial" w:hAnsi="Arial"/>
                <w:sz w:val="13"/>
                <w:szCs w:val="13"/>
                <w:b w:val="1"/>
                <w:bCs w:val="1"/>
                <w:color w:val="auto"/>
              </w:rPr>
              <w:t>OF THE AGA</w:t>
            </w:r>
          </w:p>
        </w:tc>
        <w:tc>
          <w:tcPr>
            <w:tcW w:w="660" w:type="dxa"/>
            <w:vAlign w:val="bottom"/>
            <w:gridSpan w:val="3"/>
          </w:tcPr>
          <w:p>
            <w:pPr>
              <w:jc w:val="center"/>
              <w:ind w:right="130"/>
              <w:spacing w:after="0" w:line="140" w:lineRule="exact"/>
              <w:rPr>
                <w:sz w:val="20"/>
                <w:szCs w:val="20"/>
                <w:color w:val="auto"/>
              </w:rPr>
            </w:pPr>
            <w:r>
              <w:rPr>
                <w:rFonts w:ascii="Arial" w:cs="Arial" w:eastAsia="Arial" w:hAnsi="Arial"/>
                <w:sz w:val="13"/>
                <w:szCs w:val="13"/>
                <w:b w:val="1"/>
                <w:bCs w:val="1"/>
                <w:color w:val="auto"/>
              </w:rPr>
              <w:t>PRICE</w:t>
            </w:r>
          </w:p>
        </w:tc>
        <w:tc>
          <w:tcPr>
            <w:tcW w:w="180" w:type="dxa"/>
            <w:vAlign w:val="bottom"/>
          </w:tcPr>
          <w:p>
            <w:pPr>
              <w:spacing w:after="0"/>
              <w:rPr>
                <w:sz w:val="12"/>
                <w:szCs w:val="12"/>
                <w:color w:val="auto"/>
              </w:rPr>
            </w:pPr>
          </w:p>
        </w:tc>
        <w:tc>
          <w:tcPr>
            <w:tcW w:w="1320" w:type="dxa"/>
            <w:vAlign w:val="bottom"/>
            <w:gridSpan w:val="2"/>
          </w:tcPr>
          <w:p>
            <w:pPr>
              <w:jc w:val="center"/>
              <w:ind w:right="310"/>
              <w:spacing w:after="0" w:line="140" w:lineRule="exact"/>
              <w:rPr>
                <w:sz w:val="20"/>
                <w:szCs w:val="20"/>
                <w:color w:val="auto"/>
              </w:rPr>
            </w:pPr>
            <w:r>
              <w:rPr>
                <w:rFonts w:ascii="Arial" w:cs="Arial" w:eastAsia="Arial" w:hAnsi="Arial"/>
                <w:sz w:val="13"/>
                <w:szCs w:val="13"/>
                <w:b w:val="1"/>
                <w:bCs w:val="1"/>
                <w:color w:val="auto"/>
                <w:w w:val="94"/>
              </w:rPr>
              <w:t>PER SHARE</w:t>
            </w:r>
          </w:p>
        </w:tc>
        <w:tc>
          <w:tcPr>
            <w:tcW w:w="80" w:type="dxa"/>
            <w:vAlign w:val="bottom"/>
          </w:tcPr>
          <w:p>
            <w:pPr>
              <w:spacing w:after="0"/>
              <w:rPr>
                <w:sz w:val="12"/>
                <w:szCs w:val="12"/>
                <w:color w:val="auto"/>
              </w:rPr>
            </w:pPr>
          </w:p>
        </w:tc>
        <w:tc>
          <w:tcPr>
            <w:tcW w:w="960" w:type="dxa"/>
            <w:vAlign w:val="bottom"/>
            <w:gridSpan w:val="3"/>
          </w:tcPr>
          <w:p>
            <w:pPr>
              <w:ind w:left="80"/>
              <w:spacing w:after="0" w:line="140" w:lineRule="exact"/>
              <w:rPr>
                <w:sz w:val="20"/>
                <w:szCs w:val="20"/>
                <w:color w:val="auto"/>
              </w:rPr>
            </w:pPr>
            <w:r>
              <w:rPr>
                <w:rFonts w:ascii="Arial" w:cs="Arial" w:eastAsia="Arial" w:hAnsi="Arial"/>
                <w:sz w:val="13"/>
                <w:szCs w:val="13"/>
                <w:b w:val="1"/>
                <w:bCs w:val="1"/>
                <w:color w:val="auto"/>
              </w:rPr>
              <w:t>TERM</w:t>
            </w:r>
          </w:p>
        </w:tc>
        <w:tc>
          <w:tcPr>
            <w:tcW w:w="1020" w:type="dxa"/>
            <w:vAlign w:val="bottom"/>
            <w:gridSpan w:val="3"/>
          </w:tcPr>
          <w:p>
            <w:pPr>
              <w:jc w:val="right"/>
              <w:ind w:right="340"/>
              <w:spacing w:after="0" w:line="140" w:lineRule="exact"/>
              <w:rPr>
                <w:sz w:val="20"/>
                <w:szCs w:val="20"/>
                <w:color w:val="auto"/>
              </w:rPr>
            </w:pPr>
            <w:r>
              <w:rPr>
                <w:rFonts w:ascii="Arial" w:cs="Arial" w:eastAsia="Arial" w:hAnsi="Arial"/>
                <w:sz w:val="13"/>
                <w:szCs w:val="13"/>
                <w:b w:val="1"/>
                <w:bCs w:val="1"/>
                <w:color w:val="auto"/>
                <w:w w:val="96"/>
              </w:rPr>
              <w:t>DURATION</w:t>
            </w:r>
          </w:p>
        </w:tc>
        <w:tc>
          <w:tcPr>
            <w:tcW w:w="98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VOLATILITY</w:t>
            </w:r>
          </w:p>
        </w:tc>
        <w:tc>
          <w:tcPr>
            <w:tcW w:w="300" w:type="dxa"/>
            <w:vAlign w:val="bottom"/>
          </w:tcPr>
          <w:p>
            <w:pPr>
              <w:spacing w:after="0"/>
              <w:rPr>
                <w:sz w:val="12"/>
                <w:szCs w:val="12"/>
                <w:color w:val="auto"/>
              </w:rPr>
            </w:pPr>
          </w:p>
        </w:tc>
        <w:tc>
          <w:tcPr>
            <w:tcW w:w="900" w:type="dxa"/>
            <w:vAlign w:val="bottom"/>
            <w:gridSpan w:val="2"/>
          </w:tcPr>
          <w:p>
            <w:pPr>
              <w:jc w:val="right"/>
              <w:ind w:right="380"/>
              <w:spacing w:after="0" w:line="140" w:lineRule="exact"/>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0"/>
        </w:trPr>
        <w:tc>
          <w:tcPr>
            <w:tcW w:w="18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AGA 2021</w:t>
            </w:r>
          </w:p>
        </w:tc>
        <w:tc>
          <w:tcPr>
            <w:tcW w:w="1140" w:type="dxa"/>
            <w:vAlign w:val="bottom"/>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gridSpan w:val="2"/>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gridSpan w:val="3"/>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31.60</w:t>
            </w: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23.92</w:t>
            </w:r>
          </w:p>
        </w:tc>
        <w:tc>
          <w:tcPr>
            <w:tcW w:w="420" w:type="dxa"/>
            <w:vAlign w:val="bottom"/>
            <w:vMerge w:val="continue"/>
            <w:shd w:val="clear" w:color="auto" w:fill="CCEEFF"/>
          </w:tcPr>
          <w:p>
            <w:pPr>
              <w:spacing w:after="0"/>
              <w:rPr>
                <w:sz w:val="17"/>
                <w:szCs w:val="17"/>
                <w:color w:val="auto"/>
              </w:rPr>
            </w:pPr>
          </w:p>
        </w:tc>
        <w:tc>
          <w:tcPr>
            <w:tcW w:w="4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0.00</w:t>
            </w:r>
          </w:p>
        </w:tc>
        <w:tc>
          <w:tcPr>
            <w:tcW w:w="2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8"/>
              <w:spacing w:after="0" w:line="203" w:lineRule="exact"/>
              <w:rPr>
                <w:sz w:val="20"/>
                <w:szCs w:val="20"/>
                <w:color w:val="auto"/>
              </w:rPr>
            </w:pPr>
            <w:r>
              <w:rPr>
                <w:rFonts w:ascii="Arial" w:cs="Arial" w:eastAsia="Arial" w:hAnsi="Arial"/>
                <w:sz w:val="18"/>
                <w:szCs w:val="18"/>
                <w:color w:val="auto"/>
              </w:rPr>
              <w:t>0.00</w:t>
            </w: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40" w:type="dxa"/>
            <w:vAlign w:val="bottom"/>
            <w:gridSpan w:val="2"/>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40" w:type="dxa"/>
            <w:vAlign w:val="bottom"/>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49%</w:t>
            </w:r>
          </w:p>
        </w:tc>
        <w:tc>
          <w:tcPr>
            <w:tcW w:w="300" w:type="dxa"/>
            <w:vAlign w:val="bottom"/>
            <w:vMerge w:val="continue"/>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AGAs granted in September 2021 are subject to a vesting service condition of one year following the grant date. The number of shares that will be finally vested under this plan will depend on the following conditions: if a M&amp;A transaction is completed on or prior to July 31, 2022 and the price per ordinary share of the Company retained in the framework of the M&amp;A transaction is at least equal to €100 per share (or lower than €100 per share) then 100% (or 75%) of the shares initially granted will be vested. The AGAs are forfeited if a M&amp;A transaction is not completed on or prior to July 31, 2022.</w:t>
      </w:r>
    </w:p>
    <w:p>
      <w:pPr>
        <w:spacing w:after="0" w:line="157"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These conditions qualify as both a non-market performance condition (occurrence or not of a M&amp;A transaction before July 31, 2022) and a market condition (number of shares depending on the share price offered in case of a M&amp;A transaction before July 31, 2022) under IFRS 2 principles.</w:t>
      </w:r>
    </w:p>
    <w:p>
      <w:pPr>
        <w:spacing w:after="0" w:line="12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level of achievement of the market condition is directly included in the unit fair value of the free shares and the probability of a M&amp;A transaction before July 31, 2022 is included in the estimation of the number of shares that will be finally vested by the beneficiaries.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As of December 31, 2021, considering that it was probable that an M&amp;A transaction would occur before July 31, 2022, 100% of the shares originally granted were included in the calculation of share based payment expenses. In addition, the Company recognized an accrual for social taxes related to the AGA 2021 plan of €205 thousand as of December 31, 2021.The total share-based compensation expense amounted to €828 thousand (€389 thousand in research and development and €440 thousand in general and administrative, respectively).</w:t>
      </w:r>
    </w:p>
    <w:p>
      <w:pPr>
        <w:spacing w:after="0" w:line="17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During the period ended December 31, 2022, the AGAs were all forfeited since no M&amp;A transaction was completed on or prior to July 31, 2022. This resulted in a reversal of the related compensation expense of €1,026 thousand and the reversal of the accrual for social taxes of €205 thousand that was recorded as of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Breakdown of the compensation expenses accounted for the year ended December 31, 2021 and 2022</w:t>
      </w:r>
    </w:p>
    <w:p>
      <w:pPr>
        <w:sectPr>
          <w:pgSz w:w="11900" w:h="16838" w:orient="portrait"/>
          <w:cols w:equalWidth="0" w:num="1">
            <w:col w:w="11140"/>
          </w:cols>
          <w:pgMar w:left="320" w:top="459" w:right="439" w:bottom="1440" w:gutter="0" w:footer="0" w:header="0"/>
        </w:sect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8"/>
              </w:rPr>
              <w:t>TYPE</w:t>
            </w:r>
          </w:p>
        </w:tc>
        <w:tc>
          <w:tcPr>
            <w:tcW w:w="6140" w:type="dxa"/>
            <w:vAlign w:val="bottom"/>
            <w:vMerge w:val="restart"/>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EXPENSES RELATED</w:t>
            </w:r>
          </w:p>
        </w:tc>
        <w:tc>
          <w:tcPr>
            <w:tcW w:w="0" w:type="dxa"/>
            <w:vAlign w:val="bottom"/>
          </w:tcPr>
          <w:p>
            <w:pPr>
              <w:spacing w:after="0"/>
              <w:rPr>
                <w:sz w:val="1"/>
                <w:szCs w:val="1"/>
                <w:color w:val="auto"/>
              </w:rPr>
            </w:pPr>
          </w:p>
        </w:tc>
      </w:tr>
      <w:tr>
        <w:trPr>
          <w:trHeight w:val="82"/>
        </w:trPr>
        <w:tc>
          <w:tcPr>
            <w:tcW w:w="380" w:type="dxa"/>
            <w:vAlign w:val="bottom"/>
            <w:tcBorders>
              <w:bottom w:val="single" w:sz="8" w:color="auto"/>
            </w:tcBorders>
            <w:vMerge w:val="continue"/>
          </w:tcPr>
          <w:p>
            <w:pPr>
              <w:spacing w:after="0"/>
              <w:rPr>
                <w:sz w:val="6"/>
                <w:szCs w:val="6"/>
                <w:color w:val="auto"/>
              </w:rPr>
            </w:pPr>
          </w:p>
        </w:tc>
        <w:tc>
          <w:tcPr>
            <w:tcW w:w="6140" w:type="dxa"/>
            <w:vAlign w:val="bottom"/>
            <w:vMerge w:val="continue"/>
          </w:tcPr>
          <w:p>
            <w:pPr>
              <w:spacing w:after="0"/>
              <w:rPr>
                <w:sz w:val="6"/>
                <w:szCs w:val="6"/>
                <w:color w:val="auto"/>
              </w:rPr>
            </w:pPr>
          </w:p>
        </w:tc>
        <w:tc>
          <w:tcPr>
            <w:tcW w:w="1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TO THE YEAR ENDED</w:t>
            </w:r>
          </w:p>
        </w:tc>
        <w:tc>
          <w:tcPr>
            <w:tcW w:w="0" w:type="dxa"/>
            <w:vAlign w:val="bottom"/>
          </w:tcPr>
          <w:p>
            <w:pPr>
              <w:spacing w:after="0"/>
              <w:rPr>
                <w:sz w:val="1"/>
                <w:szCs w:val="1"/>
                <w:color w:val="auto"/>
              </w:rPr>
            </w:pPr>
          </w:p>
        </w:tc>
      </w:tr>
      <w:tr>
        <w:trPr>
          <w:trHeight w:val="52"/>
        </w:trPr>
        <w:tc>
          <w:tcPr>
            <w:tcW w:w="65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6520" w:type="dxa"/>
            <w:vAlign w:val="bottom"/>
            <w:gridSpan w:val="2"/>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52"/>
        </w:trPr>
        <w:tc>
          <w:tcPr>
            <w:tcW w:w="38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20"/>
        <w:spacing w:after="0" w:line="232" w:lineRule="auto"/>
        <w:rPr>
          <w:sz w:val="20"/>
          <w:szCs w:val="20"/>
          <w:color w:val="auto"/>
        </w:rPr>
      </w:pPr>
      <w:r>
        <w:rPr>
          <w:rFonts w:ascii="Arial" w:cs="Arial" w:eastAsia="Arial" w:hAnsi="Arial"/>
          <w:sz w:val="14"/>
          <w:szCs w:val="14"/>
          <w:b w:val="1"/>
          <w:bCs w:val="1"/>
          <w:color w:val="auto"/>
        </w:rPr>
        <w:t>EXPENSES RELATED TO THE YEAR ENDED DECEMBER 31, 2022</w:t>
      </w:r>
    </w:p>
    <w:p>
      <w:pPr>
        <w:spacing w:after="0" w:line="15" w:lineRule="exact"/>
        <w:rPr>
          <w:sz w:val="20"/>
          <w:szCs w:val="20"/>
          <w:color w:val="auto"/>
        </w:rPr>
      </w:pPr>
    </w:p>
    <w:p>
      <w:pPr>
        <w:sectPr>
          <w:pgSz w:w="11900" w:h="16838" w:orient="portrait"/>
          <w:cols w:equalWidth="0" w:num="2">
            <w:col w:w="8780" w:space="720"/>
            <w:col w:w="16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83"/>
        </w:trPr>
        <w:tc>
          <w:tcPr>
            <w:tcW w:w="370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BCEs</w:t>
            </w:r>
          </w:p>
        </w:tc>
        <w:tc>
          <w:tcPr>
            <w:tcW w:w="5660" w:type="dxa"/>
            <w:vAlign w:val="bottom"/>
            <w:gridSpan w:val="3"/>
          </w:tcPr>
          <w:p>
            <w:pPr>
              <w:jc w:val="right"/>
              <w:ind w:right="1240"/>
              <w:spacing w:after="0"/>
              <w:rPr>
                <w:sz w:val="20"/>
                <w:szCs w:val="20"/>
                <w:color w:val="auto"/>
              </w:rPr>
            </w:pPr>
            <w:r>
              <w:rPr>
                <w:rFonts w:ascii="Arial" w:cs="Arial" w:eastAsia="Arial" w:hAnsi="Arial"/>
                <w:sz w:val="18"/>
                <w:szCs w:val="18"/>
                <w:color w:val="auto"/>
              </w:rPr>
              <w:t>(199)</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BSAs</w:t>
            </w:r>
          </w:p>
        </w:tc>
        <w:tc>
          <w:tcPr>
            <w:tcW w:w="28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—  </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AGAs</w:t>
            </w:r>
          </w:p>
        </w:tc>
        <w:tc>
          <w:tcPr>
            <w:tcW w:w="5660" w:type="dxa"/>
            <w:vAlign w:val="bottom"/>
            <w:gridSpan w:val="3"/>
          </w:tcPr>
          <w:p>
            <w:pPr>
              <w:jc w:val="right"/>
              <w:ind w:right="1300"/>
              <w:spacing w:after="0"/>
              <w:rPr>
                <w:sz w:val="20"/>
                <w:szCs w:val="20"/>
                <w:color w:val="auto"/>
              </w:rPr>
            </w:pPr>
            <w:r>
              <w:rPr>
                <w:rFonts w:ascii="Arial" w:cs="Arial" w:eastAsia="Arial" w:hAnsi="Arial"/>
                <w:sz w:val="18"/>
                <w:szCs w:val="18"/>
                <w:color w:val="auto"/>
              </w:rPr>
              <w:t>1 026</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(1 026)</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Social taxes related to AGAs</w:t>
            </w:r>
          </w:p>
        </w:tc>
        <w:tc>
          <w:tcPr>
            <w:tcW w:w="566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205</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1 032</w:t>
            </w:r>
          </w:p>
        </w:tc>
        <w:tc>
          <w:tcPr>
            <w:tcW w:w="13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1 369</w:t>
            </w:r>
          </w:p>
        </w:tc>
        <w:tc>
          <w:tcPr>
            <w:tcW w:w="120" w:type="dxa"/>
            <w:vAlign w:val="bottom"/>
          </w:tcPr>
          <w:p>
            <w:pPr>
              <w:spacing w:after="0"/>
              <w:rPr>
                <w:sz w:val="19"/>
                <w:szCs w:val="19"/>
                <w:color w:val="auto"/>
              </w:rPr>
            </w:pPr>
          </w:p>
        </w:tc>
      </w:tr>
      <w:tr>
        <w:trPr>
          <w:trHeight w:val="372"/>
        </w:trPr>
        <w:tc>
          <w:tcPr>
            <w:tcW w:w="3700" w:type="dxa"/>
            <w:vAlign w:val="bottom"/>
          </w:tcPr>
          <w:p>
            <w:pPr>
              <w:spacing w:after="0"/>
              <w:rPr>
                <w:sz w:val="24"/>
                <w:szCs w:val="24"/>
                <w:color w:val="auto"/>
              </w:rPr>
            </w:pPr>
          </w:p>
        </w:tc>
        <w:tc>
          <w:tcPr>
            <w:tcW w:w="5660" w:type="dxa"/>
            <w:vAlign w:val="bottom"/>
            <w:gridSpan w:val="3"/>
          </w:tcPr>
          <w:p>
            <w:pPr>
              <w:jc w:val="right"/>
              <w:ind w:right="3680"/>
              <w:spacing w:after="0"/>
              <w:rPr>
                <w:sz w:val="20"/>
                <w:szCs w:val="20"/>
                <w:color w:val="auto"/>
              </w:rPr>
            </w:pPr>
            <w:r>
              <w:rPr>
                <w:rFonts w:ascii="Arial" w:cs="Arial" w:eastAsia="Arial" w:hAnsi="Arial"/>
                <w:sz w:val="18"/>
                <w:szCs w:val="18"/>
                <w:color w:val="auto"/>
              </w:rPr>
              <w:t>F-36</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Financial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Kreos 1 &amp; 2 bond loans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11,700</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4,730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PGE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16,458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9,127</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Oceane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19,332</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18,191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19,332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Kreos A &amp; B BSA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Oceane conversion option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Derivative instruments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Royalties certificates</w:t>
            </w:r>
          </w:p>
        </w:tc>
        <w:tc>
          <w:tcPr>
            <w:tcW w:w="94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3,287</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5,659</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6,549</w:t>
            </w:r>
          </w:p>
        </w:tc>
        <w:tc>
          <w:tcPr>
            <w:tcW w:w="60" w:type="dxa"/>
            <w:vAlign w:val="bottom"/>
            <w:shd w:val="clear" w:color="auto" w:fill="CCEEFF"/>
          </w:tcPr>
          <w:p>
            <w:pPr>
              <w:spacing w:after="0"/>
              <w:rPr>
                <w:sz w:val="18"/>
                <w:szCs w:val="18"/>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non-current financial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50,240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35,573</w:t>
            </w:r>
          </w:p>
        </w:tc>
        <w:tc>
          <w:tcPr>
            <w:tcW w:w="6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Lease liabilities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w:t>
            </w: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Borrowing</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9,608</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10,077</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3,521</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Prosynergia earn-out liability</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3,521</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Oceane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625</w:t>
            </w: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current financial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11,345</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49,797</w:t>
            </w:r>
          </w:p>
        </w:tc>
        <w:tc>
          <w:tcPr>
            <w:tcW w:w="6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 Structured debt financing with Kreos subscribed in July 2018 – “Kreos 1”</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July 24, 2018, the Company entered into a Venture Loan Agreement, a Straight Bonds Issue Agreement and a Convertible Bonds Issue Agreement with Kreos Capital V (UK) Ltd., (or “Kreos”), which provided for up to €20,000 thousand in financing.</w:t>
      </w:r>
    </w:p>
    <w:p>
      <w:pPr>
        <w:spacing w:after="0" w:line="6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Pursuant to the terms of the agreements, Kreos agreed to subscribe for €16,000 thousand in non-convertible bonds and €4,000 thousand in convertible bonds, to be issued by the Company in two tranches of €10,000 thousand each. The tranches were issued in July 2018 and May 2019, respectively.</w:t>
      </w:r>
    </w:p>
    <w:p>
      <w:pPr>
        <w:spacing w:after="0" w:line="12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convertible bonds were convertible into new ordinary shares of the Company at any time from their issuance and at the discretion of their holders. In October 2020, Kreos required the conversion of all the convertible bonds they held (2,000,000 for Tranche A and 2,000,000 for Tranche B) and 464,309 shares were issued.</w:t>
      </w:r>
    </w:p>
    <w:p>
      <w:pPr>
        <w:spacing w:after="0" w:line="18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Each tranche bears an 8% annual interest rate, plus 3-month Euribor, including a floor at 8% and a cap at 9%, and must be repaid in 54 monthly installments, after a deferred repayment of the nominal value to 12 months for the first tranche (“Tranche A”) and 6 months for the second tranche (“Tranche B”). In addition, each tranche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bears exit fees of 9% of the total drawdown amount (i.e. €900 thousand per tranche), payable upon the last monthly installment (exit fees remain payable in full in case of early redemption).</w:t>
      </w:r>
    </w:p>
    <w:p>
      <w:pPr>
        <w:spacing w:after="0" w:line="170"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Pursuant to the terms of the agreements, the Company has the right, at any time but with no less than 30 days prior notice to Kreos, to prepay or purchase the non-convertible and convertible bonds, exclusively in full. The prepayment will be equal to (i) the principal amount outstanding, plus</w:t>
      </w:r>
    </w:p>
    <w:p>
      <w:pPr>
        <w:ind w:left="120" w:right="140" w:hanging="4"/>
        <w:spacing w:after="0" w:line="260" w:lineRule="auto"/>
        <w:tabs>
          <w:tab w:leader="none" w:pos="3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exit fees of 9% of the total draw down amount and (iii) the sum of all interest repayments which would have been paid throughout the remainder of the term of the relevant tranche discounted by 4% per annum.</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agreements do not contain any financial covenants.</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connection with each tranche, the Company issued 110,957 tranche A share warrants (or “Kreos A BSA”) and 74,766 tranche B share warrants (or “Kreos B BSA”), each, for a global subscription price of €1. Each Kreos A BSA and Kreos B BSA gives rights to one new ordinary share at an exercise price of €7.21 less a discount and €10.70 less a discount, respectively. Both Kreos A BSA and Kreos B BSA are freely transferrable among financial institutions and are exercisable over a 10-year period from the issue date. In addition, the Company granted to the holders of the Kreos A BSA and the Kreos B BSA the option to sell to the Company, upon each exercise of all or parts of the Kreos A BSA, at the put price defined in the agreement, a proportion of the number of the warrants, for the sole purpose of implementing a cash less exercise of the Kreos A BSA and Kreos B BSA.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Kreos 1 financing package is issued at market conditions: the net issuance proceeds reflect the fair value of the instruments at inception.</w:t>
      </w:r>
    </w:p>
    <w:p>
      <w:pPr>
        <w:spacing w:after="0" w:line="23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straight bond tranches are split between i) a debt component (then measured at amortized cost), and ii) a premium corresponding to the initial fair value of attached BSA (then remeasured at fair value through profit and loss).</w:t>
      </w:r>
    </w:p>
    <w:p>
      <w:pPr>
        <w:spacing w:after="0" w:line="17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BSA attached to all tranches (both straight and convertible) do not meet the “fixed for fixed” criteria (non cash settlement option which may result in exchanging a variable number of shares, for a variable price), and are accounted for as standalone derivative instruments.</w:t>
      </w:r>
    </w:p>
    <w:p>
      <w:pPr>
        <w:spacing w:after="0" w:line="146"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issuer prepayment options meet the definition of a separate derivative. However, their value at inception and subsequent dates is nil as per Schoenbucher model, and has no impact on the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Kreos A BSA &amp; Kreos B BSA</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Kreos A BSA and Kreos B BSA are measured at fair value using a Black-Scholes valuation model. The main data and assumptions are the following: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Kreos A BSA - July 31, 2018</w:t>
            </w:r>
          </w:p>
        </w:tc>
        <w:tc>
          <w:tcPr>
            <w:tcW w:w="15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6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December 31, 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A BSA</w:t>
            </w: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7.21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28.55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Residual maturity</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6.6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Dividend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Fair value of issued Kreos A BSA (in thousands of €)</w:t>
            </w:r>
          </w:p>
        </w:tc>
        <w:tc>
          <w:tcPr>
            <w:tcW w:w="1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2,478</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Change in fair value of Kreos A BSA for the year (in thousands of €)</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(699)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(2,203)</w:t>
            </w:r>
          </w:p>
        </w:tc>
        <w:tc>
          <w:tcPr>
            <w:tcW w:w="0" w:type="dxa"/>
            <w:vAlign w:val="bottom"/>
          </w:tcPr>
          <w:p>
            <w:pPr>
              <w:spacing w:after="0"/>
              <w:rPr>
                <w:sz w:val="1"/>
                <w:szCs w:val="1"/>
                <w:color w:val="auto"/>
              </w:rPr>
            </w:pPr>
          </w:p>
        </w:tc>
      </w:tr>
      <w:tr>
        <w:trPr>
          <w:trHeight w:val="372"/>
        </w:trPr>
        <w:tc>
          <w:tcPr>
            <w:tcW w:w="528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F-38</w:t>
            </w:r>
          </w:p>
        </w:tc>
        <w:tc>
          <w:tcPr>
            <w:tcW w:w="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Kreos B BSA - June 1, 2019</w:t>
            </w: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6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0" w:type="dxa"/>
            <w:vAlign w:val="bottom"/>
          </w:tcPr>
          <w:p>
            <w:pPr>
              <w:spacing w:after="0"/>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December 31, 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Number of outstanding </w:t>
            </w:r>
            <w:r>
              <w:rPr>
                <w:rFonts w:ascii="Arial" w:cs="Arial" w:eastAsia="Arial" w:hAnsi="Arial"/>
                <w:sz w:val="18"/>
                <w:szCs w:val="18"/>
                <w:b w:val="1"/>
                <w:bCs w:val="1"/>
                <w:color w:val="auto"/>
              </w:rPr>
              <w:t>Kreos B BSA</w:t>
            </w: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28.55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Residual maturity</w:t>
            </w:r>
          </w:p>
        </w:tc>
        <w:tc>
          <w:tcPr>
            <w:tcW w:w="8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7.4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 years</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Fair value of issued Kreos B BSA (in thousands of €)</w:t>
            </w: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fair value of Kreos B BSA for the year (in thousands of €)</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2021, using the same assumption with an increase of +1% volatility, €+1share price and +1% risk-free rate would result in an increase of Kreos A&amp;B BSA fair value of €16 thousand, €176 thousand, and €69 thousand respectively.</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2022, using the same assumption with an increase of +1% volatility, €+1share price and +1% risk-free rate would result in an increase of Kreos A&amp;B BSA fair value of €6 thousand, €78 thousand, and €12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15.2. Structured debt financing with Kreos subscribed in October 2020 – “Kreos 2”</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October 13, 2020, the Company obtained a straight bond loan of €15,000 thousand from Kreos corresponding to two tranches of €10,000 thousand (“Tranche A”) and €5,000 thousand (“Tranche B”), with an option for an additional €5,000 thousand.</w:t>
      </w:r>
    </w:p>
    <w:p>
      <w:pPr>
        <w:spacing w:after="0" w:line="170"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Tranches A and B were paid in October and November 2020, respectively, with the following conditions. Each tranche bears an 8% annual interest rate, plus 3-month Euribor, for the first 12 monthly installments, after which the annual interest rate is increased to a fixed rate of 9.75% for the following 36 monthly installments. Each tranche is to be repaid in 36 monthly installments starting from October 2021 and November 2021, for the tranche A and B, respectively. The agreements do not contain any financial covenants.</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 addition, each tranche bears exit fees of 4% of the total drawdown amount (i.e. €400 thousand €200 thousand for Tranche A &amp; B, respectively), payable upon the last monthly installment (exit fees remain payable, in full or partially, in case of early redemption).</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Pursuant to the terms of the agreements, the Company has the right, at any time but with no less than 30 days prior notice to Kreos, to prepay or purchase the non-convertible exclusively in whole. The prepayment will be equal to (i) the principal amount outstanding, plus (ii) exit fees of 2% of the outstanding amount in the event of prepayment occurring between the 18th and the 30th installment or exit fees of 4% of the outstanding amount in the event of prepayment occurring after the 30th installment and (iii) the sum of all interest repayments which would have been paid throughout the remainder of the term of the relevant tranche discounted by 4% per annum.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Kreos 2 straight bonds were initially measured at fair value, which corresponds to the net cash proceeds, and subsequently measured at amortized cost.</w:t>
      </w:r>
    </w:p>
    <w:p>
      <w:pPr>
        <w:spacing w:after="0" w:line="17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addition, the prepayment option is a separate derivative instrument as the redemption price does not reimburse Kreos for an amount up to the approximate present value of lost interest for the remaining term of the host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contract. However, its fair value at inception and subsequent dates is nil as per Schoenbucher model, and has no impact on the financial statements.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15.3. OCEANE</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received a gross proceed of €85,000 thousand on July 30, 2021 through (i) the issuance of 1,964,031 shares with a subscription price of €30.55 per share (see Note 13.3 (changes in share capital)) for gross amount of €60,000 thousand, and (ii) the issuance of €25,000 thousand in OCEANE, maturing on July 30, 2026. The proceeds of the transaction mainly serve to finance the progress of ABX464 clinical trials in chronic inflammatory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OCEANE bears a 6% interest rate per year, payable semi-annually January 30, and July, 31 from January 31, 2022.</w:t>
      </w:r>
    </w:p>
    <w:p>
      <w:pPr>
        <w:spacing w:after="0" w:line="22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OCEANE shall be convertible into new ordinary shares and/or exchanged for existing ordinary shares of the Company at any time from their issuance and at the discretion of their holders. The conversion ratio is one ordinary share of the company per OCEANE, representing a conversion price set to € 38.19 per ordinary share. This conversion price will be updated (decrease only) 18 months, 24 months, 36 months after OCEANE issuance date to match the volume weighted average price of the thirty trading days that precedes the update subjected to the following floor threshold. The floor threshold for the 18-month update matches 85% initial conversion price (€32.462 per ordinary share). The floor threshold for the 24-month update matches 70% initial conversion price (€26.733 per ordinary share). The floor threshold for the 36-month update matches 68% initial conversion price (€25.969 per ordinary share).</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OCEANE terms and conditions anticipate a conversion ratio adjustment in order to preserve the rights of OCEANE holders with the following achievements made by the company: issuance of new shares with the preemptive subscription right, attribution of free shares or securities for the benefit of all the shareholders, number of share multiplication, shares consolidation, increase of the nominal value by incorporation of reserves, profits or bonuses, distribution of dividends, premiums or reserves, mergers, scission, repurchase of shares above market value, capital reduction, creation of preferred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 and measurement</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As the conversion ratio is adjusted 18 months, 24 months, and 36 months after the issuance date of the OCEANE bond with the weighted average price of the shares and is subject to a floor and a cap, the conversion does not result in the delivery of a fixed number of shares. Consequently, the OCEANE bond is recorded as an hybrid instrument which includes i) a debt host contract accounted for at amortized cost, and ii) a conversion option which is a standalone derivative accounted for at fair value through profit and loss.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inception, the net cash proceeds reflect the OCEANE initial fair value. The fair value of the bifurcated option at inception has been measured with a Monte Carlo model using a Longstaff Schwartz algorithm, with a 53% share price volatility, a 1 400 bp credit spread assumption and a €31.50 share price.</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 of July 30, 2021, the issuance price of € 25,000 thousand has been split between i) a financial liability for €17,839 thousand, and ii) a financial derivative for €7,161 thousand.</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 of December 31, 2021, the fair value of the conversion option amounts to €5,929 thousand, based on the same valuation model, a credit spread assumption of 1,400 bp, a share price of €28.55, and a price volatility of 77%.</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2021, using the same assumptions, an increase of +1% volatility, €+1 share price and +1% risk free rate would result in an increase of the OCEANE conversion option fair value of €114 thousand, €337 thousand, and €243 thousand, respectively.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December 31, 2022, the fair value of conversion option amounts to €142 thousand, based on the same valuation model, a credit spread assumption of 1,475 bp, a share price of €6.18, and a price volatility of 44%.</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2022, using the same assumptions, an increase of +1% volatility, €+1 share price and +1% risk free rate would result in an increase of the OCEANE conversion option fair value of €17 thousand, €97 thousand, and €15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15.4. State guaranteed loan – “PGE”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June 2020, the Company subscribed to a PGE from Société Générale with an initial maturity of 12 months at 0.25% and a five-year extension option.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March 2021, the company exercised the five-year extension option with a one-year deferral of the principal repayment, with the following conditions:</w:t>
      </w:r>
    </w:p>
    <w:p>
      <w:pPr>
        <w:spacing w:after="0" w:line="139"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Rate: 0.58% per annum excluding insurance and state guaranteed premium,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State guaranteed premium of €138 thousand to be paid by installments over the contract period starting in June 2021,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Reimbursement by yearly installments from June 2021 to June 2026.</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benefit resulting from the low interest nature of the award as a subsidy was recognized as other income during the period ended December 31, 2020 for an amount of €377 thousand.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15.5. Conditional advances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96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9060" w:type="dxa"/>
            <w:vAlign w:val="bottom"/>
          </w:tcPr>
          <w:p>
            <w:pPr>
              <w:spacing w:after="0"/>
              <w:rPr>
                <w:sz w:val="20"/>
                <w:szCs w:val="20"/>
                <w:color w:val="auto"/>
              </w:rPr>
            </w:pPr>
            <w:r>
              <w:rPr>
                <w:rFonts w:ascii="Arial" w:cs="Arial" w:eastAsia="Arial" w:hAnsi="Arial"/>
                <w:sz w:val="14"/>
                <w:szCs w:val="14"/>
                <w:b w:val="1"/>
                <w:bCs w:val="1"/>
                <w:color w:val="auto"/>
              </w:rPr>
              <w:t>CONDITIONAL ADVANCES</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 2021 </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 2022 </w:t>
            </w:r>
          </w:p>
        </w:tc>
      </w:tr>
      <w:tr>
        <w:trPr>
          <w:trHeight w:val="209"/>
        </w:trPr>
        <w:tc>
          <w:tcPr>
            <w:tcW w:w="9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RNP VIR – Bpifrance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CARENA – Bpifrance</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2,423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2,454</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EBOLA – Bpifrance</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COVID-19 – Bpifrance</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9"/>
              </w:rPr>
              <w:t>—  </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conditional advances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6,770</w:t>
            </w:r>
          </w:p>
        </w:tc>
        <w:tc>
          <w:tcPr>
            <w:tcW w:w="4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6,783</w:t>
            </w:r>
          </w:p>
        </w:tc>
        <w:tc>
          <w:tcPr>
            <w:tcW w:w="6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RNP-VIR – Bpifrance</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Under the RNP-VIR contract, the Company was eligible to receive up to €6.3 million in conditional advances to further develop methods for the discovery of new molecules for the treatment of viral infectious diseases through the development of the “Modulation of RNA biogenesis” platform. As of December 31, 2022, the Company had received €4,032 thousand, of which €1,756 thousand was received in September 2017, €346 thousand in August 2018 and €1,930 thousand in November 2019. The repayment of these funds is spread from the date on which the repayments are called by BPI.</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CARENA – Bpifrance</w:t>
      </w:r>
    </w:p>
    <w:p>
      <w:pPr>
        <w:spacing w:after="0" w:line="117"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Under the CARENA agreement, the Company was eligible to receive up to €3,840 thousand to develop a therapeutic HIV treatment program with ABX464. As of December 31, 2022, the Company received €2,187 thousand, of which €1,150 thousand was received in December 2013, €1,008 thousand in September 2014 and €29 thousand received in June 2016.</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repayment of the advance is spread from the date on which the repayments are called by BPI. An additional repayment is provided for based on the income the Company generates through this research and development program.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EBOLA – Bpifrance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Under the Bpifrance and Occitanie region joint aid agreement, the Company received a total of €390 thousand (€300 thousand as of December 31, 2017 and €90 thousand as of December 31, 2019). The reimbursement is spread from 2019 to June 2024.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 Bpifrance</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 May 2020, Bpifrance granted the Company with a conditional advance of up to a total of €15,869 thousand under the COVID-19 agreement to complete the miR-AGE study to demonstrate the efficacy and safety of ABX464 for the treatment of COVID-19 patients at risk of developing severe forms of the disease thanks to an anti- inflammatory and antiviral effect.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project failed, the repayment of these funds were to be spread over five years from March 31,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 had received a grant of €1,587 thousand and a repayable advance of €6,348 thousand.</w:t>
      </w:r>
    </w:p>
    <w:p>
      <w:pPr>
        <w:spacing w:after="0" w:line="225"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In view of the study results and the recommendations of the Data and Safety Monitoring Board, the Company terminated the study on March 5, 2021. As Bpifrance had recorded the project as a failure, the repayable advance of €6,348 thousand paid in 2020 was recognized as a grant. As of December 31, 2021, the Company had also received the remainder of the grant, amounting to €3,279 thousand.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valuation of conditional advances was made using a market rate of 8% per year as of May 31, 2020 (see Note 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15.6. Lease liability</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LEASE LIABILITY</w:t>
            </w:r>
          </w:p>
        </w:tc>
        <w:tc>
          <w:tcPr>
            <w:tcW w:w="0" w:type="dxa"/>
            <w:vAlign w:val="bottom"/>
          </w:tcPr>
          <w:p>
            <w:pPr>
              <w:spacing w:after="0"/>
              <w:rPr>
                <w:sz w:val="1"/>
                <w:szCs w:val="1"/>
                <w:color w:val="auto"/>
              </w:rPr>
            </w:pPr>
          </w:p>
        </w:tc>
      </w:tr>
      <w:tr>
        <w:trPr>
          <w:trHeight w:val="171"/>
        </w:trPr>
        <w:tc>
          <w:tcPr>
            <w:tcW w:w="9640" w:type="dxa"/>
            <w:vAlign w:val="bottom"/>
          </w:tcPr>
          <w:p>
            <w:pPr>
              <w:spacing w:after="0"/>
              <w:rPr>
                <w:sz w:val="20"/>
                <w:szCs w:val="20"/>
                <w:color w:val="auto"/>
              </w:rPr>
            </w:pPr>
            <w:r>
              <w:rPr>
                <w:rFonts w:ascii="Arial" w:cs="Arial" w:eastAsia="Arial" w:hAnsi="Arial"/>
                <w:sz w:val="14"/>
                <w:szCs w:val="14"/>
                <w:b w:val="1"/>
                <w:bCs w:val="1"/>
                <w:color w:val="auto"/>
              </w:rPr>
              <w:t>LEASE AGREEMENT</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Increase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1,384</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mainly relate the Company’s headquarter and to a lesser extent to vehicles, parking lots and printers (Note 8).</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lease for the Company’s corporate headquarters in Paris, France at 5 Rue de la Baume, 75008 Paris ended in August 2022. A new lease for premises at 7-11 Boulevard Haussmann, 75009 Paris started in July 2022. It has a three-year duration, with a tacit renewal option for approximately two years and the possibility to break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contract one year before the end. Per Management, renewal and termination options are not reasonably certain due to the forecasted development of the Company, which may lead the Company to relocate at the end of the initial term.</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As of December 31, 2021 and December 31, 2022, the lease liability of the headquarter represented 92% and 97% of the total lease liability, respectively.</w:t>
      </w:r>
    </w:p>
    <w:p>
      <w:pPr>
        <w:spacing w:after="0" w:line="170"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Lease expenses related to contracts for which a lease liability and right of use asset is recognized under IFRS 16 were €250 thousand and €424 thousand for the years ended December 31, 2021 and 2022, respectively. They were recognized for (i) €244 thousand and €414 thousand as Depreciation expenses and (ii) €5 thousand and €10 thousand as Interest expenses, for the years ended December 31, 2021 and 2022, respectively.</w:t>
      </w:r>
    </w:p>
    <w:p>
      <w:pPr>
        <w:spacing w:after="0" w:line="149"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Lease expenses related to short-term lease contracts and low value assets that are not included in the valuation of the lease liability amount to €25 thousand and €331 thousand for the years ended December 31, 2021 and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15.7 Prosynergia earn-out liability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Prosynergia earn-out liability is measured at fair value using a Black-Scholes valuation model. The main data and assumptions are the following:</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49"/>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Prosynergia earn-out</w:t>
            </w:r>
          </w:p>
        </w:tc>
        <w:tc>
          <w:tcPr>
            <w:tcW w:w="220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2"/>
              </w:rPr>
              <w:t>As of April 1, 2022</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0" w:type="dxa"/>
            <w:vAlign w:val="bottom"/>
          </w:tcPr>
          <w:p>
            <w:pPr>
              <w:spacing w:after="0"/>
              <w:rPr>
                <w:sz w:val="1"/>
                <w:szCs w:val="1"/>
                <w:color w:val="auto"/>
              </w:rPr>
            </w:pPr>
          </w:p>
        </w:tc>
      </w:tr>
      <w:tr>
        <w:trPr>
          <w:trHeight w:val="171"/>
        </w:trPr>
        <w:tc>
          <w:tcPr>
            <w:tcW w:w="744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0"/>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4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vMerge w:val="continue"/>
            <w:shd w:val="clear" w:color="auto" w:fill="CCEEFF"/>
          </w:tcPr>
          <w:p>
            <w:pPr>
              <w:spacing w:after="0"/>
              <w:rPr>
                <w:sz w:val="18"/>
                <w:szCs w:val="18"/>
                <w:color w:val="auto"/>
              </w:rPr>
            </w:pPr>
          </w:p>
        </w:tc>
        <w:tc>
          <w:tcPr>
            <w:tcW w:w="2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-0,27%</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Market capitalization (in thousands of €)</w:t>
            </w:r>
          </w:p>
        </w:tc>
        <w:tc>
          <w:tcPr>
            <w:tcW w:w="2200" w:type="dxa"/>
            <w:vAlign w:val="bottom"/>
            <w:gridSpan w:val="2"/>
          </w:tcPr>
          <w:p>
            <w:pPr>
              <w:jc w:val="right"/>
              <w:ind w:right="1060"/>
              <w:spacing w:after="0"/>
              <w:rPr>
                <w:sz w:val="20"/>
                <w:szCs w:val="20"/>
                <w:color w:val="auto"/>
              </w:rPr>
            </w:pPr>
            <w:r>
              <w:rPr>
                <w:rFonts w:ascii="Arial" w:cs="Arial" w:eastAsia="Arial" w:hAnsi="Arial"/>
                <w:sz w:val="18"/>
                <w:szCs w:val="18"/>
                <w:color w:val="auto"/>
              </w:rPr>
              <w:t>403 118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135 952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 (€)</w:t>
            </w:r>
          </w:p>
        </w:tc>
        <w:tc>
          <w:tcPr>
            <w:tcW w:w="22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24,15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Time to maturity</w:t>
            </w:r>
          </w:p>
        </w:tc>
        <w:tc>
          <w:tcPr>
            <w:tcW w:w="2200" w:type="dxa"/>
            <w:vAlign w:val="bottom"/>
            <w:gridSpan w:val="2"/>
          </w:tcPr>
          <w:p>
            <w:pPr>
              <w:jc w:val="right"/>
              <w:ind w:right="1060"/>
              <w:spacing w:after="0"/>
              <w:rPr>
                <w:sz w:val="20"/>
                <w:szCs w:val="20"/>
                <w:color w:val="auto"/>
              </w:rPr>
            </w:pPr>
            <w:r>
              <w:rPr>
                <w:rFonts w:ascii="Arial" w:cs="Arial" w:eastAsia="Arial" w:hAnsi="Arial"/>
                <w:sz w:val="18"/>
                <w:szCs w:val="18"/>
                <w:color w:val="auto"/>
              </w:rPr>
              <w:t>1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0.25 year</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61,00%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Dividend</w:t>
            </w:r>
          </w:p>
        </w:tc>
        <w:tc>
          <w:tcPr>
            <w:tcW w:w="2200" w:type="dxa"/>
            <w:vAlign w:val="bottom"/>
            <w:gridSpan w:val="2"/>
          </w:tcPr>
          <w:p>
            <w:pPr>
              <w:jc w:val="right"/>
              <w:ind w:right="9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the earn-out liability (in thousands of €)</w:t>
            </w:r>
          </w:p>
        </w:tc>
        <w:tc>
          <w:tcPr>
            <w:tcW w:w="22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(1 446)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April 1, 2022, using the same assumption with an increase of +1% volatility, €+1 share price and +1% risk free rate would result in an increase of the earn-out liability fair value by €12 thousand, €132 thousand and €17 thousand, respectively.</w:t>
      </w:r>
    </w:p>
    <w:p>
      <w:pPr>
        <w:spacing w:after="0" w:line="170"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As of December 31, 2022, the fair value of the earn-out liability is approximately €0. Using the same assumption with an increase of +1% volatility, €+1 share price and +1% risk free rate would result in an increase of the earn-out liability fair value by an amount less than €1 thousand.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15.8 Royalty certificates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September 2, 2022, the Company completed a financing of €49,162 thousand, consisting of two transactions:</w:t>
      </w:r>
    </w:p>
    <w:p>
      <w:pPr>
        <w:spacing w:after="0" w:line="131" w:lineRule="exact"/>
        <w:rPr>
          <w:sz w:val="20"/>
          <w:szCs w:val="20"/>
          <w:color w:val="auto"/>
        </w:rPr>
      </w:pPr>
    </w:p>
    <w:p>
      <w:pPr>
        <w:ind w:left="1080" w:right="24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reserved capital increase of a gross amount of €46,231 thousand through the issuance of 5,530,000 new shares with a nominal value of €0.01 per share at a subscription price of €8.36 per share;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 issue of royalty certificates with a subscription price amounting to €2,931 thousand. The royalty certificates give right to their holders to royalties equal to 2% of the future net sales of obefazimod (worldwide and for all indications) as from the commercialization of such product. The amount of royalties that may be paid under the royalty certificates is capped at €172,000 thousand.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€3,280 thousand and are recorded in equity, since entirely related to the reserved capital increase.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2022, following a change in the estimate of future royalty cash flows, the certificates’ amortized cost was remeasured at</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€3,287 thousand, using the original EIR calculated at the date of issuance. The change in estimate resulted in a decrease in the related interest expense by €100 thousand over the period ended December 31,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as of December 31,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this date, the fair value of the royalty certificates, calculated using the same model as their initial measurement, amounts to €3,307 thousand.</w:t>
      </w:r>
    </w:p>
    <w:p>
      <w:pPr>
        <w:spacing w:after="0" w:line="23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fair value of the Royalty Certificates is based on NPV of royalties, which depend on assumptions made by the Company with regards to the probability of success of its studies (“POS”), the commercialization budget of obefazimod (“peak penetration”) and the discount rate. In addition, royalty projections have been adjusted to reflect any difference between the company’s value derived from management projections and the company’s market capitalization.</w:t>
      </w:r>
    </w:p>
    <w:p>
      <w:pPr>
        <w:sectPr>
          <w:pgSz w:w="11900" w:h="16838" w:orient="portrait"/>
          <w:cols w:equalWidth="0" w:num="1">
            <w:col w:w="11140"/>
          </w:cols>
          <w:pgMar w:left="320" w:top="459" w:right="439" w:bottom="1440" w:gutter="0" w:footer="0" w:header="0"/>
        </w:sectPr>
      </w:pP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sensitivity analysis to key assumptions is presented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Peak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15.9. Change in financial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Fair value of royalty</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certificates (in thousands</w:t>
            </w:r>
          </w:p>
        </w:tc>
        <w:tc>
          <w:tcPr>
            <w:tcW w:w="0" w:type="dxa"/>
            <w:vAlign w:val="bottom"/>
          </w:tcPr>
          <w:p>
            <w:pPr>
              <w:spacing w:after="0"/>
              <w:rPr>
                <w:sz w:val="1"/>
                <w:szCs w:val="1"/>
                <w:color w:val="auto"/>
              </w:rPr>
            </w:pPr>
          </w:p>
        </w:tc>
      </w:tr>
      <w:tr>
        <w:trPr>
          <w:trHeight w:val="167"/>
        </w:trPr>
        <w:tc>
          <w:tcPr>
            <w:tcW w:w="2920" w:type="dxa"/>
            <w:vAlign w:val="bottom"/>
            <w:vMerge w:val="restart"/>
          </w:tcPr>
          <w:p>
            <w:pPr>
              <w:jc w:val="right"/>
              <w:ind w:right="750"/>
              <w:spacing w:after="0"/>
              <w:rPr>
                <w:sz w:val="20"/>
                <w:szCs w:val="20"/>
                <w:color w:val="auto"/>
              </w:rPr>
            </w:pPr>
            <w:r>
              <w:rPr>
                <w:rFonts w:ascii="Arial" w:cs="Arial" w:eastAsia="Arial" w:hAnsi="Arial"/>
                <w:sz w:val="18"/>
                <w:szCs w:val="18"/>
                <w:color w:val="auto"/>
              </w:rPr>
              <w:t>-5 points</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of euros)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right"/>
              <w:ind w:right="730"/>
              <w:spacing w:after="0"/>
              <w:rPr>
                <w:sz w:val="20"/>
                <w:szCs w:val="20"/>
                <w:color w:val="auto"/>
              </w:rPr>
            </w:pPr>
            <w:r>
              <w:rPr>
                <w:rFonts w:ascii="Arial" w:cs="Arial" w:eastAsia="Arial" w:hAnsi="Arial"/>
                <w:sz w:val="18"/>
                <w:szCs w:val="18"/>
                <w:color w:val="auto"/>
              </w:rPr>
              <w:t>+5 points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373"/>
        </w:trPr>
        <w:tc>
          <w:tcPr>
            <w:tcW w:w="292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Fair value of royalty</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certificates (in thousands</w:t>
            </w:r>
          </w:p>
        </w:tc>
        <w:tc>
          <w:tcPr>
            <w:tcW w:w="0" w:type="dxa"/>
            <w:vAlign w:val="bottom"/>
          </w:tcPr>
          <w:p>
            <w:pPr>
              <w:spacing w:after="0"/>
              <w:rPr>
                <w:sz w:val="1"/>
                <w:szCs w:val="1"/>
                <w:color w:val="auto"/>
              </w:rPr>
            </w:pPr>
          </w:p>
        </w:tc>
      </w:tr>
      <w:tr>
        <w:trPr>
          <w:trHeight w:val="167"/>
        </w:trPr>
        <w:tc>
          <w:tcPr>
            <w:tcW w:w="2920" w:type="dxa"/>
            <w:vAlign w:val="bottom"/>
            <w:vMerge w:val="restart"/>
          </w:tcPr>
          <w:p>
            <w:pPr>
              <w:jc w:val="right"/>
              <w:ind w:right="970"/>
              <w:spacing w:after="0"/>
              <w:rPr>
                <w:sz w:val="20"/>
                <w:szCs w:val="20"/>
                <w:color w:val="auto"/>
              </w:rPr>
            </w:pPr>
            <w:r>
              <w:rPr>
                <w:rFonts w:ascii="Arial" w:cs="Arial" w:eastAsia="Arial" w:hAnsi="Arial"/>
                <w:sz w:val="18"/>
                <w:szCs w:val="18"/>
                <w:color w:val="auto"/>
                <w:w w:val="88"/>
              </w:rPr>
              <w:t>-5% (worst case scenario)</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of euros)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right"/>
              <w:ind w:right="1010"/>
              <w:spacing w:after="0"/>
              <w:rPr>
                <w:sz w:val="20"/>
                <w:szCs w:val="20"/>
                <w:color w:val="auto"/>
              </w:rPr>
            </w:pPr>
            <w:r>
              <w:rPr>
                <w:rFonts w:ascii="Arial" w:cs="Arial" w:eastAsia="Arial" w:hAnsi="Arial"/>
                <w:sz w:val="18"/>
                <w:szCs w:val="18"/>
                <w:color w:val="auto"/>
                <w:w w:val="88"/>
              </w:rPr>
              <w:t>+5% (best case scenario)</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373"/>
        </w:trPr>
        <w:tc>
          <w:tcPr>
            <w:tcW w:w="292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Fair value of royalty</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certificates (in thousands</w:t>
            </w:r>
          </w:p>
        </w:tc>
        <w:tc>
          <w:tcPr>
            <w:tcW w:w="0" w:type="dxa"/>
            <w:vAlign w:val="bottom"/>
          </w:tcPr>
          <w:p>
            <w:pPr>
              <w:spacing w:after="0"/>
              <w:rPr>
                <w:sz w:val="1"/>
                <w:szCs w:val="1"/>
                <w:color w:val="auto"/>
              </w:rPr>
            </w:pPr>
          </w:p>
        </w:tc>
      </w:tr>
      <w:tr>
        <w:trPr>
          <w:trHeight w:val="167"/>
        </w:trPr>
        <w:tc>
          <w:tcPr>
            <w:tcW w:w="2920" w:type="dxa"/>
            <w:vAlign w:val="bottom"/>
            <w:vMerge w:val="restart"/>
          </w:tcPr>
          <w:p>
            <w:pPr>
              <w:jc w:val="right"/>
              <w:ind w:right="750"/>
              <w:spacing w:after="0"/>
              <w:rPr>
                <w:sz w:val="20"/>
                <w:szCs w:val="20"/>
                <w:color w:val="auto"/>
              </w:rPr>
            </w:pPr>
            <w:r>
              <w:rPr>
                <w:rFonts w:ascii="Arial" w:cs="Arial" w:eastAsia="Arial" w:hAnsi="Arial"/>
                <w:sz w:val="18"/>
                <w:szCs w:val="18"/>
                <w:color w:val="auto"/>
              </w:rPr>
              <w:t>-1 point</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of euros)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right"/>
              <w:ind w:right="730"/>
              <w:spacing w:after="0"/>
              <w:rPr>
                <w:sz w:val="20"/>
                <w:szCs w:val="20"/>
                <w:color w:val="auto"/>
              </w:rPr>
            </w:pPr>
            <w:r>
              <w:rPr>
                <w:rFonts w:ascii="Arial" w:cs="Arial" w:eastAsia="Arial" w:hAnsi="Arial"/>
                <w:sz w:val="18"/>
                <w:szCs w:val="18"/>
                <w:color w:val="auto"/>
              </w:rPr>
              <w:t>+1 point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716" w:lineRule="exact"/>
        <w:rPr>
          <w:sz w:val="20"/>
          <w:szCs w:val="20"/>
          <w:color w:val="auto"/>
        </w:rPr>
      </w:pPr>
    </w:p>
    <w:p>
      <w:pPr>
        <w:sectPr>
          <w:pgSz w:w="11900" w:h="16838" w:orient="portrait"/>
          <w:cols w:equalWidth="0" w:num="2">
            <w:col w:w="6000" w:space="720"/>
            <w:col w:w="4420"/>
          </w:cols>
          <w:pgMar w:left="320" w:top="459" w:right="43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financial liabilities, excluding derivative instruments, are presented below as of December 31, 2021 and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Kreos 1 &amp; 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Conditional</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Lease</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Prosynergia</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Royalty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960" w:type="dxa"/>
            <w:vAlign w:val="bottom"/>
            <w:gridSpan w:val="2"/>
            <w:vMerge w:val="continue"/>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Oceane</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PGE</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advances</w:t>
            </w:r>
          </w:p>
        </w:tc>
        <w:tc>
          <w:tcPr>
            <w:tcW w:w="780" w:type="dxa"/>
            <w:vAlign w:val="bottom"/>
            <w:gridSpan w:val="2"/>
            <w:vMerge w:val="continue"/>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earn-out</w:t>
            </w:r>
          </w:p>
        </w:tc>
        <w:tc>
          <w:tcPr>
            <w:tcW w:w="90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(excluding derivatives instruments)</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bond loans</w:t>
            </w: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BPI</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liability</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certificates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26 233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74"/>
              </w:rPr>
              <w:t>—  </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4 623</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11 193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400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74"/>
              </w:rPr>
              <w:t>—  </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1"/>
              </w:rPr>
              <w:t>—  </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42 449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Proceeds </w:t>
            </w:r>
            <w:r>
              <w:rPr>
                <w:rFonts w:ascii="Arial" w:cs="Arial" w:eastAsia="Arial" w:hAnsi="Arial"/>
                <w:sz w:val="26"/>
                <w:szCs w:val="26"/>
                <w:color w:val="auto"/>
                <w:vertAlign w:val="superscript"/>
              </w:rPr>
              <w:t>(1)</w:t>
            </w: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1"/>
              </w:rPr>
              <w:t>—  </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25 000</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4"/>
              </w:rPr>
              <w:t>—  </w:t>
            </w:r>
          </w:p>
        </w:tc>
        <w:tc>
          <w:tcPr>
            <w:tcW w:w="220" w:type="dxa"/>
            <w:vAlign w:val="bottom"/>
          </w:tcPr>
          <w:p>
            <w:pPr>
              <w:spacing w:after="0"/>
              <w:rPr>
                <w:sz w:val="18"/>
                <w:szCs w:val="18"/>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74"/>
              </w:rPr>
              <w:t>—  </w:t>
            </w:r>
          </w:p>
        </w:tc>
        <w:tc>
          <w:tcPr>
            <w:tcW w:w="220" w:type="dxa"/>
            <w:vAlign w:val="bottom"/>
          </w:tcPr>
          <w:p>
            <w:pPr>
              <w:spacing w:after="0"/>
              <w:rPr>
                <w:sz w:val="18"/>
                <w:szCs w:val="18"/>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1"/>
              </w:rPr>
              <w:t>—  </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25 000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(5 537)</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(5 856)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paid</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interest expense and other</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414</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977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1 525</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3"/>
              </w:rPr>
              <w:t>Non-cash changes : classification of the conversion option</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as a derivative instrument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(7 161)</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(7 161)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 subsidies</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(4 459)</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(4 367)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 cash changes: additional leases</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21 110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18 816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4 742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6 770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214</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—  </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51 653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F-44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Kreos 1 &amp; 2</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Conditional</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Lease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Prosynergia</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Royalty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920" w:type="dxa"/>
            <w:vAlign w:val="bottom"/>
            <w:gridSpan w:val="3"/>
            <w:vMerge w:val="continue"/>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Oceane</w:t>
            </w: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PGE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advances</w:t>
            </w:r>
          </w:p>
        </w:tc>
        <w:tc>
          <w:tcPr>
            <w:tcW w:w="72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earn-out</w:t>
            </w: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color w:val="auto"/>
              </w:rPr>
              <w:t>(excluding derivatives instruments)</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bond loans</w:t>
            </w: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BPI</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liability</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certificates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1"/>
              </w:rPr>
              <w:t>—  </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4"/>
              </w:rPr>
              <w:t>—  </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1"/>
              </w:rPr>
              <w:t>—  </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4"/>
              </w:rPr>
              <w:t>—  </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1"/>
              </w:rPr>
              <w:t>—  </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2 931</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2 931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Repayments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(9 410)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(305)</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(9 806)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(2 456)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(1 496)</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(4 006)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Non-cash changes: interest expense and other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3 738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2 636</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150</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102</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356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6 983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recognition of earn-out liability</w:t>
            </w:r>
          </w:p>
        </w:tc>
        <w:tc>
          <w:tcPr>
            <w:tcW w:w="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1 446</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1 446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Non-cash changes: fair value remeasurement</w:t>
            </w:r>
          </w:p>
        </w:tc>
        <w:tc>
          <w:tcPr>
            <w:tcW w:w="92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(1 446)</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(1 446)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 cash changes: additional leases</w:t>
            </w:r>
          </w:p>
        </w:tc>
        <w:tc>
          <w:tcPr>
            <w:tcW w:w="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1 476</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1 476</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12 982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19 957</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4"/>
              </w:rPr>
              <w:t>4 838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6 783</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4"/>
              </w:rPr>
              <w:t>1 384</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w w:val="81"/>
              </w:rPr>
              <w:t>—  </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3 287</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49 231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Excluding issuance fees of €87 thousand for the year ended December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15.10. Change in 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derivative instruments, are presented below as of December 31, 2021 and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OCEANE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Kreos A BSA</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Kreos B BSA</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conversion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20"/>
                <w:szCs w:val="20"/>
                <w:color w:val="auto"/>
              </w:rPr>
            </w:pPr>
            <w:r>
              <w:rPr>
                <w:rFonts w:ascii="Arial" w:cs="Arial" w:eastAsia="Arial" w:hAnsi="Arial"/>
                <w:sz w:val="14"/>
                <w:szCs w:val="14"/>
                <w:b w:val="1"/>
                <w:bCs w:val="1"/>
                <w:color w:val="auto"/>
              </w:rPr>
              <w:t>FINANCIAL INSTRUMENTS</w:t>
            </w: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3 177</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2 019</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5 196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 Increase in fair value</w:t>
            </w:r>
          </w:p>
        </w:tc>
        <w:tc>
          <w:tcPr>
            <w:tcW w:w="1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7 161</w:t>
            </w:r>
          </w:p>
        </w:tc>
        <w:tc>
          <w:tcPr>
            <w:tcW w:w="4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 Decrease in fair value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(1 231)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(2 425)</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2 478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1 525</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5 929</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9 932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 Increase in fair value</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 Decrease in fair value</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(2 203)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(1 376)</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(5 787)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(9 366)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149</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15.11. Breakdown of financial liabilities by maturity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maturities of financial liabilities are presented below as of December 31, 2021 and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AS OF DECEMBER 31 2021</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LONGER THAN</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LESS THAN</w:t>
            </w: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FROM 1 TO</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GROSS AMOUNT</w:t>
            </w: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1 YEAR</w:t>
            </w: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5 YEARS</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1"/>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Océane</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18,816</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625</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18,191</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4,742</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4,715</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6,770</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1,112</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5,659</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214</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9,932</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—    </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5,929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61,585</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11,345</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46,237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4,003</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i w:val="1"/>
                <w:iCs w:val="1"/>
                <w:color w:val="auto"/>
              </w:rPr>
              <w:t>Of which current portion</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11,345</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non-current portion</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i w:val="1"/>
                <w:iCs w:val="1"/>
                <w:color w:val="auto"/>
              </w:rPr>
              <w:t>50,240</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1860" w:type="dxa"/>
            <w:vAlign w:val="bottom"/>
            <w:gridSpan w:val="2"/>
          </w:tcPr>
          <w:p>
            <w:pPr>
              <w:jc w:val="right"/>
              <w:ind w:right="1200"/>
              <w:spacing w:after="0"/>
              <w:rPr>
                <w:sz w:val="20"/>
                <w:szCs w:val="20"/>
                <w:color w:val="auto"/>
              </w:rPr>
            </w:pPr>
            <w:r>
              <w:rPr>
                <w:rFonts w:ascii="Arial" w:cs="Arial" w:eastAsia="Arial" w:hAnsi="Arial"/>
                <w:sz w:val="18"/>
                <w:szCs w:val="18"/>
                <w:color w:val="auto"/>
              </w:rPr>
              <w:t>F-45</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 2022</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LONGER THAN</w:t>
            </w:r>
          </w:p>
        </w:tc>
        <w:tc>
          <w:tcPr>
            <w:tcW w:w="0" w:type="dxa"/>
            <w:vAlign w:val="bottom"/>
          </w:tcPr>
          <w:p>
            <w:pPr>
              <w:spacing w:after="0"/>
              <w:rPr>
                <w:sz w:val="1"/>
                <w:szCs w:val="1"/>
                <w:color w:val="auto"/>
              </w:rPr>
            </w:pPr>
          </w:p>
        </w:tc>
      </w:tr>
      <w:tr>
        <w:trPr>
          <w:trHeight w:val="148"/>
        </w:trPr>
        <w:tc>
          <w:tcPr>
            <w:tcW w:w="50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LESS THAN</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FROM 1 TO</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GROSS AMOUNT</w:t>
            </w: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1 YEAR</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5 YEARS</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6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1"/>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Oceane</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19,957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625</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19,332</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3,558</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6,783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3,521</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3,262</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3,287</w:t>
            </w:r>
          </w:p>
        </w:tc>
        <w:tc>
          <w:tcPr>
            <w:tcW w:w="1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3,287</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Lease liabilities</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1,384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545</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839</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w:t>
            </w:r>
          </w:p>
        </w:tc>
        <w:tc>
          <w:tcPr>
            <w:tcW w:w="1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49,797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35,150</w:t>
            </w:r>
          </w:p>
        </w:tc>
        <w:tc>
          <w:tcPr>
            <w:tcW w:w="66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w w:val="86"/>
              </w:rPr>
              <w:t>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current portion</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i w:val="1"/>
                <w:iCs w:val="1"/>
                <w:color w:val="auto"/>
              </w:rPr>
              <w:t>14,224</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i w:val="1"/>
                <w:iCs w:val="1"/>
                <w:color w:val="auto"/>
              </w:rPr>
              <w:t>Of which non-current portion</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i w:val="1"/>
                <w:iCs w:val="1"/>
                <w:color w:val="auto"/>
              </w:rPr>
              <w:t>35,573</w:t>
            </w: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Retirement benefit obligations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Retirement benefit obligations include the liability for the defined benefit plan, measured based on the provisions stipulated under the applicable collective agreements, i.e. the French pharmaceutical industry’s collective agreement. This commitment only applies to employees subject to French law.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actuarial assumptions used to measure the retirement benefit obligations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940" w:type="dxa"/>
            <w:vAlign w:val="bottom"/>
          </w:tcPr>
          <w:p>
            <w:pPr>
              <w:jc w:val="center"/>
              <w:ind w:right="1848"/>
              <w:spacing w:after="0"/>
              <w:rPr>
                <w:sz w:val="20"/>
                <w:szCs w:val="20"/>
                <w:color w:val="auto"/>
              </w:rPr>
            </w:pPr>
            <w:r>
              <w:rPr>
                <w:rFonts w:ascii="Arial" w:cs="Arial" w:eastAsia="Arial" w:hAnsi="Arial"/>
                <w:sz w:val="14"/>
                <w:szCs w:val="14"/>
                <w:b w:val="1"/>
                <w:bCs w:val="1"/>
                <w:color w:val="auto"/>
                <w:w w:val="99"/>
              </w:rPr>
              <w:t>AS OF DECEMBER 31,</w:t>
            </w:r>
          </w:p>
        </w:tc>
      </w:tr>
      <w:tr>
        <w:trPr>
          <w:trHeight w:val="185"/>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ACTUARIAL ASSUMPTIONS</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394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b w:val="1"/>
                <w:bCs w:val="1"/>
                <w:color w:val="auto"/>
              </w:rPr>
              <w:t>2022</w:t>
            </w:r>
          </w:p>
        </w:tc>
      </w:tr>
      <w:tr>
        <w:trPr>
          <w:trHeight w:val="142"/>
        </w:trPr>
        <w:tc>
          <w:tcPr>
            <w:tcW w:w="5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Retirement age</w:t>
            </w:r>
          </w:p>
        </w:tc>
        <w:tc>
          <w:tcPr>
            <w:tcW w:w="584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65 years for key management / 63 years for other employees</w:t>
            </w:r>
          </w:p>
        </w:tc>
      </w:tr>
      <w:tr>
        <w:trPr>
          <w:trHeight w:val="148"/>
        </w:trPr>
        <w:tc>
          <w:tcPr>
            <w:tcW w:w="5180" w:type="dxa"/>
            <w:vAlign w:val="bottom"/>
          </w:tcPr>
          <w:p>
            <w:pPr>
              <w:spacing w:after="0" w:line="149" w:lineRule="exact"/>
              <w:rPr>
                <w:sz w:val="20"/>
                <w:szCs w:val="20"/>
                <w:color w:val="auto"/>
              </w:rPr>
            </w:pPr>
            <w:r>
              <w:rPr>
                <w:rFonts w:ascii="Arial" w:cs="Arial" w:eastAsia="Arial" w:hAnsi="Arial"/>
                <w:sz w:val="14"/>
                <w:szCs w:val="14"/>
                <w:color w:val="auto"/>
              </w:rPr>
              <w:t>Collective agreement</w:t>
            </w:r>
          </w:p>
        </w:tc>
        <w:tc>
          <w:tcPr>
            <w:tcW w:w="1900" w:type="dxa"/>
            <w:vAlign w:val="bottom"/>
          </w:tcPr>
          <w:p>
            <w:pPr>
              <w:spacing w:after="0"/>
              <w:rPr>
                <w:sz w:val="12"/>
                <w:szCs w:val="12"/>
                <w:color w:val="auto"/>
              </w:rPr>
            </w:pPr>
          </w:p>
        </w:tc>
        <w:tc>
          <w:tcPr>
            <w:tcW w:w="3940" w:type="dxa"/>
            <w:vAlign w:val="bottom"/>
          </w:tcPr>
          <w:p>
            <w:pPr>
              <w:jc w:val="center"/>
              <w:ind w:right="1828"/>
              <w:spacing w:after="0" w:line="149" w:lineRule="exact"/>
              <w:rPr>
                <w:sz w:val="20"/>
                <w:szCs w:val="20"/>
                <w:color w:val="auto"/>
              </w:rPr>
            </w:pPr>
            <w:r>
              <w:rPr>
                <w:rFonts w:ascii="Arial" w:cs="Arial" w:eastAsia="Arial" w:hAnsi="Arial"/>
                <w:sz w:val="14"/>
                <w:szCs w:val="14"/>
                <w:color w:val="auto"/>
                <w:w w:val="93"/>
              </w:rPr>
              <w:t>Pharmaceutical industry</w:t>
            </w:r>
          </w:p>
        </w:tc>
      </w:tr>
      <w:tr>
        <w:trPr>
          <w:trHeight w:val="148"/>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 (IBoxx Corporates AA)</w:t>
            </w:r>
          </w:p>
        </w:tc>
        <w:tc>
          <w:tcPr>
            <w:tcW w:w="1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0.90%</w:t>
            </w:r>
          </w:p>
        </w:tc>
        <w:tc>
          <w:tcPr>
            <w:tcW w:w="3940" w:type="dxa"/>
            <w:vAlign w:val="bottom"/>
            <w:shd w:val="clear" w:color="auto" w:fill="CCEEFF"/>
          </w:tcPr>
          <w:p>
            <w:pPr>
              <w:jc w:val="right"/>
              <w:ind w:right="1188"/>
              <w:spacing w:after="0" w:line="149" w:lineRule="exact"/>
              <w:rPr>
                <w:sz w:val="20"/>
                <w:szCs w:val="20"/>
                <w:color w:val="auto"/>
              </w:rPr>
            </w:pPr>
            <w:r>
              <w:rPr>
                <w:rFonts w:ascii="Arial" w:cs="Arial" w:eastAsia="Arial" w:hAnsi="Arial"/>
                <w:sz w:val="14"/>
                <w:szCs w:val="14"/>
                <w:color w:val="auto"/>
              </w:rPr>
              <w:t>3.65%</w:t>
            </w:r>
          </w:p>
        </w:tc>
      </w:tr>
      <w:tr>
        <w:trPr>
          <w:trHeight w:val="148"/>
        </w:trPr>
        <w:tc>
          <w:tcPr>
            <w:tcW w:w="5180" w:type="dxa"/>
            <w:vAlign w:val="bottom"/>
          </w:tcPr>
          <w:p>
            <w:pPr>
              <w:spacing w:after="0" w:line="149" w:lineRule="exact"/>
              <w:rPr>
                <w:sz w:val="20"/>
                <w:szCs w:val="20"/>
                <w:color w:val="auto"/>
              </w:rPr>
            </w:pPr>
            <w:r>
              <w:rPr>
                <w:rFonts w:ascii="Arial" w:cs="Arial" w:eastAsia="Arial" w:hAnsi="Arial"/>
                <w:sz w:val="14"/>
                <w:szCs w:val="14"/>
                <w:color w:val="auto"/>
              </w:rPr>
              <w:t>Mortality rate table</w:t>
            </w:r>
          </w:p>
        </w:tc>
        <w:tc>
          <w:tcPr>
            <w:tcW w:w="1900" w:type="dxa"/>
            <w:vAlign w:val="bottom"/>
          </w:tcPr>
          <w:p>
            <w:pPr>
              <w:spacing w:after="0"/>
              <w:rPr>
                <w:sz w:val="12"/>
                <w:szCs w:val="12"/>
                <w:color w:val="auto"/>
              </w:rPr>
            </w:pPr>
          </w:p>
        </w:tc>
        <w:tc>
          <w:tcPr>
            <w:tcW w:w="3940" w:type="dxa"/>
            <w:vAlign w:val="bottom"/>
          </w:tcPr>
          <w:p>
            <w:pPr>
              <w:jc w:val="center"/>
              <w:ind w:right="1848"/>
              <w:spacing w:after="0" w:line="149" w:lineRule="exact"/>
              <w:rPr>
                <w:sz w:val="20"/>
                <w:szCs w:val="20"/>
                <w:color w:val="auto"/>
              </w:rPr>
            </w:pPr>
            <w:r>
              <w:rPr>
                <w:rFonts w:ascii="Arial" w:cs="Arial" w:eastAsia="Arial" w:hAnsi="Arial"/>
                <w:sz w:val="14"/>
                <w:szCs w:val="14"/>
                <w:color w:val="auto"/>
                <w:w w:val="93"/>
              </w:rPr>
              <w:t>INSEE 2016-2018</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Salary increase rate</w:t>
            </w:r>
          </w:p>
        </w:tc>
        <w:tc>
          <w:tcPr>
            <w:tcW w:w="5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 for key management / 2.55% for other employees</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Turnover rate</w:t>
            </w:r>
          </w:p>
        </w:tc>
        <w:tc>
          <w:tcPr>
            <w:tcW w:w="5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Decreasing from 5,80% at 20 years-old to 0,05% from 55 years-old</w:t>
            </w:r>
          </w:p>
        </w:tc>
      </w:tr>
      <w:tr>
        <w:trPr>
          <w:trHeight w:val="148"/>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contribution rate</w:t>
            </w:r>
          </w:p>
        </w:tc>
        <w:tc>
          <w:tcPr>
            <w:tcW w:w="1900" w:type="dxa"/>
            <w:vAlign w:val="bottom"/>
            <w:shd w:val="clear" w:color="auto" w:fill="CCEEFF"/>
          </w:tcPr>
          <w:p>
            <w:pPr>
              <w:spacing w:after="0"/>
              <w:rPr>
                <w:sz w:val="12"/>
                <w:szCs w:val="12"/>
                <w:color w:val="auto"/>
              </w:rPr>
            </w:pPr>
          </w:p>
        </w:tc>
        <w:tc>
          <w:tcPr>
            <w:tcW w:w="3940" w:type="dxa"/>
            <w:vAlign w:val="bottom"/>
            <w:shd w:val="clear" w:color="auto" w:fill="CCEEFF"/>
          </w:tcPr>
          <w:p>
            <w:pPr>
              <w:jc w:val="center"/>
              <w:ind w:right="1848"/>
              <w:spacing w:after="0" w:line="149" w:lineRule="exact"/>
              <w:rPr>
                <w:sz w:val="20"/>
                <w:szCs w:val="20"/>
                <w:color w:val="auto"/>
              </w:rPr>
            </w:pPr>
            <w:r>
              <w:rPr>
                <w:rFonts w:ascii="Arial" w:cs="Arial" w:eastAsia="Arial" w:hAnsi="Arial"/>
                <w:sz w:val="14"/>
                <w:szCs w:val="14"/>
                <w:color w:val="auto"/>
                <w:w w:val="92"/>
              </w:rPr>
              <w:t>45%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projected benefit obligation for the periods presented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RETIREMENT BENEFIT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562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2021</w:t>
            </w:r>
          </w:p>
        </w:tc>
        <w:tc>
          <w:tcPr>
            <w:tcW w:w="56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Service cost</w:t>
            </w: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Benefits paid</w:t>
            </w:r>
          </w:p>
        </w:tc>
        <w:tc>
          <w:tcPr>
            <w:tcW w:w="74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7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56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740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Actuarial gains and losses</w:t>
            </w:r>
          </w:p>
        </w:tc>
        <w:tc>
          <w:tcPr>
            <w:tcW w:w="56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5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610</w:t>
            </w:r>
          </w:p>
        </w:tc>
        <w:tc>
          <w:tcPr>
            <w:tcW w:w="0" w:type="dxa"/>
            <w:vAlign w:val="bottom"/>
          </w:tcPr>
          <w:p>
            <w:pPr>
              <w:spacing w:after="0"/>
              <w:rPr>
                <w:sz w:val="1"/>
                <w:szCs w:val="1"/>
                <w:color w:val="auto"/>
              </w:rPr>
            </w:pPr>
          </w:p>
        </w:tc>
      </w:tr>
      <w:tr>
        <w:trPr>
          <w:trHeight w:val="372"/>
        </w:trPr>
        <w:tc>
          <w:tcPr>
            <w:tcW w:w="3620" w:type="dxa"/>
            <w:vAlign w:val="bottom"/>
          </w:tcPr>
          <w:p>
            <w:pPr>
              <w:spacing w:after="0"/>
              <w:rPr>
                <w:sz w:val="24"/>
                <w:szCs w:val="24"/>
                <w:color w:val="auto"/>
              </w:rPr>
            </w:pPr>
          </w:p>
        </w:tc>
        <w:tc>
          <w:tcPr>
            <w:tcW w:w="5620" w:type="dxa"/>
            <w:vAlign w:val="bottom"/>
          </w:tcPr>
          <w:p>
            <w:pPr>
              <w:ind w:left="1720"/>
              <w:spacing w:after="0"/>
              <w:rPr>
                <w:sz w:val="20"/>
                <w:szCs w:val="20"/>
                <w:color w:val="auto"/>
              </w:rPr>
            </w:pPr>
            <w:r>
              <w:rPr>
                <w:rFonts w:ascii="Arial" w:cs="Arial" w:eastAsia="Arial" w:hAnsi="Arial"/>
                <w:sz w:val="18"/>
                <w:szCs w:val="18"/>
                <w:color w:val="auto"/>
              </w:rPr>
              <w:t>F-46</w:t>
            </w: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Payables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17.1. Trade payables and other current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TRADE PAYABLES AND OTHER CURRENT LIABILITIES</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Accrued invoices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5,661</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7,250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Trade payables and other current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15,475</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discount was applied to payables and related accounts maturity does not exceed one year. As a result, fair value approximates the carrying amount.</w:t>
      </w:r>
    </w:p>
    <w:p>
      <w:pPr>
        <w:spacing w:after="0" w:line="24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decrease in trade payable and other current liabilities is mainly due to the end of the research collaboration agreement with the CNRS (French National Centre for Scientific Research) and the University of Montpellier.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17.2. Tax and employee-related payables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and employee-related payables are presented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700" w:type="dxa"/>
            <w:vAlign w:val="bottom"/>
          </w:tcPr>
          <w:p>
            <w:pPr>
              <w:spacing w:after="0"/>
              <w:rPr>
                <w:sz w:val="14"/>
                <w:szCs w:val="14"/>
                <w:color w:val="auto"/>
              </w:rPr>
            </w:pPr>
          </w:p>
        </w:tc>
        <w:tc>
          <w:tcPr>
            <w:tcW w:w="1760" w:type="dxa"/>
            <w:vAlign w:val="bottom"/>
            <w:gridSpan w:val="7"/>
          </w:tcPr>
          <w:p>
            <w:pPr>
              <w:ind w:left="1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560" w:type="dxa"/>
            <w:vAlign w:val="bottom"/>
          </w:tcPr>
          <w:p>
            <w:pPr>
              <w:spacing w:after="0"/>
              <w:rPr>
                <w:sz w:val="20"/>
                <w:szCs w:val="20"/>
                <w:color w:val="auto"/>
              </w:rPr>
            </w:pPr>
            <w:r>
              <w:rPr>
                <w:rFonts w:ascii="Arial" w:cs="Arial" w:eastAsia="Arial" w:hAnsi="Arial"/>
                <w:sz w:val="14"/>
                <w:szCs w:val="14"/>
                <w:b w:val="1"/>
                <w:bCs w:val="1"/>
                <w:color w:val="auto"/>
              </w:rPr>
              <w:t>TAX AND EMPLOYEE-RELATED PAYABLES</w:t>
            </w:r>
          </w:p>
        </w:tc>
        <w:tc>
          <w:tcPr>
            <w:tcW w:w="13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Employee-related payables</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Social security and other</w:t>
            </w:r>
          </w:p>
        </w:tc>
        <w:tc>
          <w:tcPr>
            <w:tcW w:w="1580" w:type="dxa"/>
            <w:vAlign w:val="bottom"/>
            <w:gridSpan w:val="5"/>
          </w:tcPr>
          <w:p>
            <w:pPr>
              <w:jc w:val="right"/>
              <w:ind w:right="24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tax and related payments</w:t>
            </w:r>
          </w:p>
        </w:tc>
        <w:tc>
          <w:tcPr>
            <w:tcW w:w="15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Tax and employee-relates payables</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w:t>
            </w:r>
          </w:p>
        </w:tc>
        <w:tc>
          <w:tcPr>
            <w:tcW w:w="60" w:type="dxa"/>
            <w:vAlign w:val="bottom"/>
          </w:tcPr>
          <w:p>
            <w:pPr>
              <w:spacing w:after="0"/>
              <w:rPr>
                <w:sz w:val="19"/>
                <w:szCs w:val="19"/>
                <w:color w:val="auto"/>
              </w:rPr>
            </w:pPr>
          </w:p>
        </w:tc>
      </w:tr>
      <w:tr>
        <w:trPr>
          <w:trHeight w:val="547"/>
        </w:trPr>
        <w:tc>
          <w:tcPr>
            <w:tcW w:w="8560" w:type="dxa"/>
            <w:vAlign w:val="bottom"/>
          </w:tcPr>
          <w:p>
            <w:pPr>
              <w:spacing w:after="0"/>
              <w:rPr>
                <w:sz w:val="20"/>
                <w:szCs w:val="20"/>
                <w:color w:val="auto"/>
              </w:rPr>
            </w:pPr>
            <w:r>
              <w:rPr>
                <w:rFonts w:ascii="Arial" w:cs="Arial" w:eastAsia="Arial" w:hAnsi="Arial"/>
                <w:sz w:val="18"/>
                <w:szCs w:val="18"/>
                <w:b w:val="1"/>
                <w:bCs w:val="1"/>
                <w:color w:val="auto"/>
              </w:rPr>
              <w:t>Note 18. Operating income</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5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246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85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OPERATING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 (“CIR”)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6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Subsidies</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7,722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11,962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4,583</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income is composed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The Company carries out research and development projects. As such, it has benefited from a research tax credit for the years ended December 31, 2021 and 2022 for an amount of €4.2 million and €4.5 million, respectively (see Note 4.9).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Subsidy income primarily relates to Bpifrance agreement to finance the “COVID-19” project. This financing was granted under the French Future Investments Project. This study was conducted with the participation of the University Hospital of Nice, which directly manages part of the financing of the COVID-19 clinical trial.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For the year ended December 31, 2021, the Company recognized as a subsidy: (i) €4,459 thousand corresponding to the conditional advance received in June 2020 (discounted amount) which had been waived by Bpifrance in April 2021 (See Note 15.5, “Conditional advances”), and (ii) an additional payment of €3,279 thousand received in October 2021 to reimburse additional expenses incurred until the termination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19.1. Research and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expenses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PERIOD ENDED DECEMBER 30,</w:t>
            </w:r>
          </w:p>
        </w:tc>
      </w:tr>
      <w:tr>
        <w:trPr>
          <w:trHeight w:val="171"/>
        </w:trPr>
        <w:tc>
          <w:tcPr>
            <w:tcW w:w="8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Sub-contracting, studies and research</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38,858</w:t>
            </w:r>
          </w:p>
        </w:tc>
        <w:tc>
          <w:tcPr>
            <w:tcW w:w="6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Personnel costs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5,179</w:t>
            </w: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3,072</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4,016</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Intellectual property fees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1,187</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47,781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48,295</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expenses consist primarily of the following items:</w:t>
      </w:r>
    </w:p>
    <w:p>
      <w:pPr>
        <w:spacing w:after="0" w:line="131" w:lineRule="exact"/>
        <w:rPr>
          <w:sz w:val="20"/>
          <w:szCs w:val="20"/>
          <w:color w:val="auto"/>
        </w:rPr>
      </w:pPr>
    </w:p>
    <w:p>
      <w:pPr>
        <w:ind w:left="1080" w:right="76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non-clinical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expenses relating to regulatory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and maintenance;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300"/>
        <w:spacing w:after="0" w:line="296" w:lineRule="auto"/>
        <w:rPr>
          <w:sz w:val="20"/>
          <w:szCs w:val="20"/>
          <w:color w:val="auto"/>
        </w:rPr>
      </w:pPr>
      <w:r>
        <w:rPr>
          <w:rFonts w:ascii="Arial" w:cs="Arial" w:eastAsia="Arial" w:hAnsi="Arial"/>
          <w:sz w:val="16"/>
          <w:szCs w:val="16"/>
          <w:color w:val="auto"/>
        </w:rPr>
        <w:t>For the year ended December 31, 2022, research and development expenses were €48,295 thousand, as compared to €47,781 thousand for the year ended December 31, 2021. This increase was primarily due to the €20,841 thousand increase in UC expenses, following the strong progress of obefazimod in this indication since 2021, as the Company completed the Phase 2b clinical trial in early 2022 and initiated Phase 3 clinical trial in the first half of 2022. This increase is offset by a decrease by €13,943 thousand in transversal activities, as the Company completed existing studies, a decrease by €2,021 thousand in Crohn’s Disease research expenses and a decrease by €2,834 thousand in Rheumatoid Arthritis expenses.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19.2. General and administrative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PERIOD ENDED DECEMBER 30,</w:t>
            </w:r>
          </w:p>
        </w:tc>
      </w:tr>
      <w:tr>
        <w:trPr>
          <w:trHeight w:val="171"/>
        </w:trPr>
        <w:tc>
          <w:tcPr>
            <w:tcW w:w="8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6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8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3,466</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7,492</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General and administrative expenses consist primarily of personnel-related expenses, including salaries, benefits and share-based compensation expenses, for personnel other than employees engaged in research and development activities. General and administrative expenses also include fees for professional services, mainly related to audit and legal services, consulting costs, communications and travel costs, allocated expenses for facility costs, including rent, utilities and maintenance, directors’ attendance fees, and insurance costs.</w:t>
      </w:r>
    </w:p>
    <w:p>
      <w:pPr>
        <w:spacing w:after="0" w:line="17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For the year ended December 31, 2022, general and administrative expenses were €7,492 thousand, as compared to €5,580 thousand for the year ended December 31, 2021. This increase was primarily driven by other general expenses, as well as an increase in consulting and professional fees. The €2,233 thousand increase in other general and administrative expenses in 2022 was primarily related to financial and legal consulting fees. These increases are partially offset by a decrease in personnel costs, mainly due to a reversal of share-based compensation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Principal audit fees and services: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Statutory Auditor, certification of individual financial statements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Issuer</w:t>
            </w:r>
          </w:p>
        </w:tc>
        <w:tc>
          <w:tcPr>
            <w:tcW w:w="1840" w:type="dxa"/>
            <w:vAlign w:val="bottom"/>
            <w:gridSpan w:val="3"/>
          </w:tcPr>
          <w:p>
            <w:pPr>
              <w:jc w:val="right"/>
              <w:ind w:right="1020"/>
              <w:spacing w:after="0"/>
              <w:rPr>
                <w:sz w:val="20"/>
                <w:szCs w:val="20"/>
                <w:color w:val="auto"/>
              </w:rPr>
            </w:pPr>
            <w:r>
              <w:rPr>
                <w:rFonts w:ascii="Arial" w:cs="Arial" w:eastAsia="Arial" w:hAnsi="Arial"/>
                <w:sz w:val="18"/>
                <w:szCs w:val="18"/>
                <w:color w:val="auto"/>
              </w:rPr>
              <w:t>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procedures required by law</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Issuer</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1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166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840</w:t>
            </w:r>
          </w:p>
        </w:tc>
        <w:tc>
          <w:tcPr>
            <w:tcW w:w="0" w:type="dxa"/>
            <w:vAlign w:val="bottom"/>
          </w:tcPr>
          <w:p>
            <w:pPr>
              <w:spacing w:after="0"/>
              <w:rPr>
                <w:sz w:val="1"/>
                <w:szCs w:val="1"/>
                <w:color w:val="auto"/>
              </w:rPr>
            </w:pPr>
          </w:p>
        </w:tc>
      </w:tr>
      <w:tr>
        <w:trPr>
          <w:trHeight w:val="547"/>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Note 20. Employees</w:t>
            </w: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Arial" w:cs="Arial" w:eastAsia="Arial" w:hAnsi="Arial"/>
                <w:sz w:val="18"/>
                <w:szCs w:val="18"/>
                <w:color w:val="auto"/>
                <w:w w:val="98"/>
              </w:rPr>
              <w:t>The Company’s average workforce during the years ended December 31, 2021 and 2022 was as follows: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HEADCOUNTS</w:t>
            </w: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Key management</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Other employees</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72"/>
        </w:trPr>
        <w:tc>
          <w:tcPr>
            <w:tcW w:w="8200" w:type="dxa"/>
            <w:vAlign w:val="bottom"/>
          </w:tcPr>
          <w:p>
            <w:pPr>
              <w:ind w:left="5340"/>
              <w:spacing w:after="0"/>
              <w:rPr>
                <w:sz w:val="20"/>
                <w:szCs w:val="20"/>
                <w:color w:val="auto"/>
              </w:rPr>
            </w:pPr>
            <w:r>
              <w:rPr>
                <w:rFonts w:ascii="Arial" w:cs="Arial" w:eastAsia="Arial" w:hAnsi="Arial"/>
                <w:sz w:val="18"/>
                <w:szCs w:val="18"/>
                <w:color w:val="auto"/>
              </w:rPr>
              <w:t>F-49</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Financial gain or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2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FINANCIAL GAIN OR LOSS</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on Kreos 1 &amp; 2 straight bond loans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on convertible loan notes</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conditional advances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on royalty certificates</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(3,561)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(7,022)</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Decrease/(increase) in derivatives fair value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other liabilities at fair value through profit and loss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financial income</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2,509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11,118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Financial gain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w:t>
            </w:r>
          </w:p>
        </w:tc>
        <w:tc>
          <w:tcPr>
            <w:tcW w:w="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the year ended the year ended December 31, 2021, the fair values of the Kreos A BSA, the Kreos B BSA and the convertible option related to the OCEANE bond decreased by €639 thousand, €427 thousand and €1,231 thousand, respectively.</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the year ended the year ended December 31, 2022, the fair values of the Kreos A BSA, the Kreos B BSA and the convertible option related to the OCEANE bond decreased by €2,203 thousand, €1,376 thousand and €5,787 thousand,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Income tax</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income tax rate applicable to the Company is the French corporate income tax rate, i.e. 26.5% and 25% for the years ended December 31, 2021 and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Reconciliation between theoretical and effective tax rate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 except percentage)</w:t>
            </w: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Statutory French tax rates</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Nominal income tax using statutory French tax rate</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11,250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15,185</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Share-based payment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CIR</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Transaction costs related to capital increase</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1,103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derivatives fair value and other</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Non-recognition of deferred tax assets related to tax losses and temporary differences</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(13,395)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(18,169)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Effective income tax (loss)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520" w:type="dxa"/>
            <w:vAlign w:val="bottom"/>
          </w:tcPr>
          <w:p>
            <w:pPr>
              <w:ind w:left="5340"/>
              <w:spacing w:after="0"/>
              <w:rPr>
                <w:sz w:val="20"/>
                <w:szCs w:val="20"/>
                <w:color w:val="auto"/>
              </w:rPr>
            </w:pPr>
            <w:r>
              <w:rPr>
                <w:rFonts w:ascii="Arial" w:cs="Arial" w:eastAsia="Arial" w:hAnsi="Arial"/>
                <w:sz w:val="18"/>
                <w:szCs w:val="18"/>
                <w:color w:val="auto"/>
              </w:rPr>
              <w:t>F-50</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taxes balances by nature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DEFERRED TAX ASSETS BY NATURE</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 obligation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Other items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Kreos 1 &amp; 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Tax losses carryforward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77,207</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61,743</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Subsidies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Kreos 1 &amp; 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Oceane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Other items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1,427</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 net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34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61,063</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Unrecognized deferred tax assets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(76,130)</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Total deferred taxes, net recognized in the statement of financial position</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incurred tax losses in the years ended December 31, 2021 and 2022. As the recoverability of these tax losses is not considered probable in subsequent periods due to the uncertainties inherent in the Company’s business, the Company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 in France. The amount of accumulated tax loss carry forwards is related to the Company and amounts to €232,167 thousand and €308,829 thousand as of December 31, 2021 and 2022, respectively, and do not have any expiration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Income (loss) per share</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Basic losses per share is calculated by dividing income (loss) attributable to equity holders of the Company by the weighted-average number of outstanding ordinary shares for the year.</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Diluted losses per share are calculated by adjusting the weighted average number of ordinary outstanding shares to assume conversion of all dilutive potential ordinary shares. All existing instruments giving deferred rights to capital (e.g., BCEs or BSAs) have an antidilutive effect.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20"/>
                <w:szCs w:val="20"/>
                <w:color w:val="auto"/>
              </w:rPr>
            </w:pPr>
            <w:r>
              <w:rPr>
                <w:rFonts w:ascii="Arial" w:cs="Arial" w:eastAsia="Arial" w:hAnsi="Arial"/>
                <w:sz w:val="14"/>
                <w:szCs w:val="14"/>
                <w:i w:val="1"/>
                <w:iCs w:val="1"/>
                <w:color w:val="auto"/>
              </w:rPr>
              <w:t>(In thousands of euros, except share data)</w:t>
            </w: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AND DILUTED LOSS PER SHARE</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outstanding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15,455,991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19,092,442</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(42,452)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(60,740)</w:t>
            </w:r>
          </w:p>
        </w:tc>
      </w:tr>
      <w:tr>
        <w:trPr>
          <w:trHeight w:val="27"/>
        </w:trPr>
        <w:tc>
          <w:tcPr>
            <w:tcW w:w="8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(€/share)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(3.18)</w:t>
            </w:r>
          </w:p>
        </w:tc>
      </w:tr>
      <w:tr>
        <w:trPr>
          <w:trHeight w:val="20"/>
        </w:trPr>
        <w:tc>
          <w:tcPr>
            <w:tcW w:w="8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Potentially dilutive instruments (BCEs, BSAs, AGAs, Equity lines, BSA Kreos 1, OCEANE) have been excluded from the computation of diluted weighted-average shares outstanding, because such instruments had an antidilutive impact due to the losses reported. As of December 31, 2021 and 2022, the number potentially dilutive instruments were 1,873,216 and 1,707,037 respectively, giving rights to a maximum number of shares to be issued of 2,186,551 and 1,707,037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compensation of the members of the Company’s Board of Directors and to the Chief Executive Officer includes the following:</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866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7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6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compensation owed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Variable compensation owed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in-kind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Service cost related to post-employment defined-benefit plans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Attendance fees—board of directors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Share-based payments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As of December 31, 2021 and 2022, the liability related to post-employment defined benefit obligations (corresponding to the legal retirement benefits obligations) for members of the Company’s Board of Directors and Chief Executive Officer amounts to respectively €141 thousand and €149 thousand. No other post-employment benefits are granted.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arrangements with our Directors and Executive Officers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Company entered into an intellectual property assignment agreement with CEO Hartmut Ehrlich on July 7, 2021. The purpose of this agreement is to transfer to the Company all the intellectual property rights held by Hartmut Ehrlich on certain patents of which he is a co-inventor. No compensation has been paid in respect of this transfer.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25. Off-balance sheet commitments given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25.1. Commitments under collaboration, research, service provision and licensing agreements granted by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Collaboration, research and development, and licensing agreements, and licensing options related to the “Modulation of RNA biogenesis” platform.</w:t>
      </w:r>
    </w:p>
    <w:p>
      <w:pPr>
        <w:spacing w:after="0" w:line="142" w:lineRule="exact"/>
        <w:rPr>
          <w:sz w:val="20"/>
          <w:szCs w:val="20"/>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Exclusive licensing agreement with the CNRS, the University of Montpellier and the Institut Curie</w:t>
      </w:r>
    </w:p>
    <w:p>
      <w:pPr>
        <w:spacing w:after="0" w:line="117" w:lineRule="exact"/>
        <w:rPr>
          <w:rFonts w:ascii="Arial" w:cs="Arial" w:eastAsia="Arial" w:hAnsi="Arial"/>
          <w:sz w:val="18"/>
          <w:szCs w:val="18"/>
          <w:color w:val="auto"/>
        </w:rPr>
      </w:pPr>
    </w:p>
    <w:p>
      <w:pPr>
        <w:ind w:left="1100" w:right="40"/>
        <w:spacing w:after="0" w:line="257" w:lineRule="auto"/>
        <w:rPr>
          <w:rFonts w:ascii="Arial" w:cs="Arial" w:eastAsia="Arial" w:hAnsi="Arial"/>
          <w:sz w:val="18"/>
          <w:szCs w:val="18"/>
          <w:color w:val="auto"/>
        </w:rPr>
      </w:pPr>
      <w:r>
        <w:rPr>
          <w:rFonts w:ascii="Arial" w:cs="Arial" w:eastAsia="Arial" w:hAnsi="Arial"/>
          <w:sz w:val="18"/>
          <w:szCs w:val="18"/>
          <w:color w:val="auto"/>
        </w:rPr>
        <w:t>On December 4, 2008, the French National Centre for Scientific Research (CNRS), the University of Montpellier and the Institut Curie granted the Company four exclusive licenses. These licenses cover the use of their technology and products by the Company in the field of human and veterinary health relating to the use of synthetic products modifying mRNA splicing, for research, diagnosis, prevention and treatment of any possible indication. The licensing agreement includes low single-digit royalties based on future net sales to be paid by the Company.</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Framework agreement for research collaboration to create a cooperative laboratory (ended December 31, 2021)</w:t>
      </w:r>
    </w:p>
    <w:p>
      <w:pPr>
        <w:spacing w:after="0" w:line="117" w:lineRule="exact"/>
        <w:rPr>
          <w:rFonts w:ascii="Arial" w:cs="Arial" w:eastAsia="Arial" w:hAnsi="Arial"/>
          <w:sz w:val="18"/>
          <w:szCs w:val="18"/>
          <w:color w:val="auto"/>
        </w:rPr>
      </w:pPr>
    </w:p>
    <w:p>
      <w:pPr>
        <w:ind w:left="1100" w:right="60"/>
        <w:spacing w:after="0" w:line="255" w:lineRule="auto"/>
        <w:rPr>
          <w:rFonts w:ascii="Arial" w:cs="Arial" w:eastAsia="Arial" w:hAnsi="Arial"/>
          <w:sz w:val="18"/>
          <w:szCs w:val="18"/>
          <w:color w:val="auto"/>
        </w:rPr>
      </w:pPr>
      <w:r>
        <w:rPr>
          <w:rFonts w:ascii="Arial" w:cs="Arial" w:eastAsia="Arial" w:hAnsi="Arial"/>
          <w:sz w:val="18"/>
          <w:szCs w:val="18"/>
          <w:color w:val="auto"/>
        </w:rPr>
        <w:t>On December 11, 2008, the Company, the CNRS (French National Centre for Scientific Research) and the University of Montpellier entered into a research collaboration agreement for a duration of two years in order to conduct a common research program in the fields of screening and development of anti-HIV and antiviral compounds, anti-cancer and anti-metastasis compounds and compounds targeting certain genetic diseases. The term and content of research programs have been changed by successive amendments in force until December 31, 2021. Each party retains ownership of its previously acquired intellectual property rights. The parties are co-owners of the research results. Since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this agreement ended on December 31, 2021, a hosting agreement was signed with CNRS in 2022, and renewed up until December 31, 2023, so that the Company can continue its research program at the CNRS center for the year 2023.</w:t>
      </w:r>
    </w:p>
    <w:p>
      <w:pPr>
        <w:spacing w:after="0" w:line="76" w:lineRule="exact"/>
        <w:rPr>
          <w:sz w:val="20"/>
          <w:szCs w:val="20"/>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agreement with the CNRS, the University of Montpellier, the Company and Evotec</w:t>
      </w:r>
    </w:p>
    <w:p>
      <w:pPr>
        <w:spacing w:after="0" w:line="117" w:lineRule="exact"/>
        <w:rPr>
          <w:rFonts w:ascii="Arial" w:cs="Arial" w:eastAsia="Arial" w:hAnsi="Arial"/>
          <w:sz w:val="18"/>
          <w:szCs w:val="18"/>
          <w:color w:val="auto"/>
        </w:rPr>
      </w:pPr>
    </w:p>
    <w:p>
      <w:pPr>
        <w:ind w:left="1100" w:right="180"/>
        <w:spacing w:after="0" w:line="257" w:lineRule="auto"/>
        <w:rPr>
          <w:rFonts w:ascii="Arial" w:cs="Arial" w:eastAsia="Arial" w:hAnsi="Arial"/>
          <w:sz w:val="18"/>
          <w:szCs w:val="18"/>
          <w:color w:val="auto"/>
        </w:rPr>
      </w:pPr>
      <w:r>
        <w:rPr>
          <w:rFonts w:ascii="Arial" w:cs="Arial" w:eastAsia="Arial" w:hAnsi="Arial"/>
          <w:sz w:val="18"/>
          <w:szCs w:val="18"/>
          <w:color w:val="auto"/>
        </w:rPr>
        <w:t>In support of the development of the cooperative laboratory, the CNRS, the University of Montpellier, the Company and Evotec International GmbH have entered into a collaboration agreement on the development of the “Modulation of RNA biogenesis” platform, effective October 19, 2018. The molecules generated in the framework of this collaboration are the property of the Company, the University of Montpellier and the CNRS under the same terms and conditions as the research collaboration agreement on the creation of the cooperative laboratory. The agreement ended on December 31, 2021.</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Research collaboration contract with the CNRS, the University of Montpellier and the Institut Curie</w:t>
      </w:r>
    </w:p>
    <w:p>
      <w:pPr>
        <w:spacing w:after="0" w:line="117" w:lineRule="exact"/>
        <w:rPr>
          <w:rFonts w:ascii="Arial" w:cs="Arial" w:eastAsia="Arial" w:hAnsi="Arial"/>
          <w:sz w:val="18"/>
          <w:szCs w:val="18"/>
          <w:color w:val="auto"/>
        </w:rPr>
      </w:pPr>
    </w:p>
    <w:p>
      <w:pPr>
        <w:ind w:left="1100" w:right="80"/>
        <w:spacing w:after="0" w:line="257" w:lineRule="auto"/>
        <w:rPr>
          <w:rFonts w:ascii="Arial" w:cs="Arial" w:eastAsia="Arial" w:hAnsi="Arial"/>
          <w:sz w:val="18"/>
          <w:szCs w:val="18"/>
          <w:color w:val="auto"/>
        </w:rPr>
      </w:pPr>
      <w:r>
        <w:rPr>
          <w:rFonts w:ascii="Arial" w:cs="Arial" w:eastAsia="Arial" w:hAnsi="Arial"/>
          <w:sz w:val="18"/>
          <w:szCs w:val="18"/>
          <w:color w:val="auto"/>
        </w:rPr>
        <w:t>Concomitantly with the research collaboration framework contract relating to the creation of a cooperative laboratory the parties have signed a financial agreement defining the financial terms for the exploitation of patents. This contract was signed on 15 April 2009 for a duration of one year and was subsequently renewed up until March 31, 2022, In December 2022, Abivax and the Institut Curie concluded a new contract for a duration of one year, renewable by amendment, granting Abivax access to some of the Institute’s equipment and consumables.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contract with license option with the CNRS, the University of Montpellier and Theradiag</w:t>
      </w:r>
    </w:p>
    <w:p>
      <w:pPr>
        <w:spacing w:after="0" w:line="117" w:lineRule="exact"/>
        <w:rPr>
          <w:rFonts w:ascii="Arial" w:cs="Arial" w:eastAsia="Arial" w:hAnsi="Arial"/>
          <w:sz w:val="18"/>
          <w:szCs w:val="18"/>
          <w:color w:val="auto"/>
        </w:rPr>
      </w:pPr>
    </w:p>
    <w:p>
      <w:pPr>
        <w:ind w:left="1100" w:right="20"/>
        <w:spacing w:after="0" w:line="257" w:lineRule="auto"/>
        <w:rPr>
          <w:rFonts w:ascii="Arial" w:cs="Arial" w:eastAsia="Arial" w:hAnsi="Arial"/>
          <w:sz w:val="18"/>
          <w:szCs w:val="18"/>
          <w:color w:val="auto"/>
        </w:rPr>
      </w:pPr>
      <w:r>
        <w:rPr>
          <w:rFonts w:ascii="Arial" w:cs="Arial" w:eastAsia="Arial" w:hAnsi="Arial"/>
          <w:sz w:val="18"/>
          <w:szCs w:val="18"/>
          <w:color w:val="auto"/>
        </w:rPr>
        <w:t>The CNRS, the University of Montpellier, the Company and Theradiag have set up a collaborative project called CARENA, which has been in operation since February 8, 2013. Its purpose is to conduct joint research and development programs in the fields of obesity, HIV and HTLV-1, in connection with the funding obtained through the Bpifrance CARENA project. On February 18, 2015, Bpifrance accepted the reorganization of the “CARENA” project proposed by the Company, following the abandonment of the obesity project. At this time, Theradiag is no longer involved in the collaborative project.</w:t>
      </w:r>
    </w:p>
    <w:p>
      <w:pPr>
        <w:spacing w:after="0" w:line="79" w:lineRule="exact"/>
        <w:rPr>
          <w:rFonts w:ascii="Arial" w:cs="Arial" w:eastAsia="Arial" w:hAnsi="Arial"/>
          <w:sz w:val="18"/>
          <w:szCs w:val="18"/>
          <w:color w:val="auto"/>
        </w:rPr>
      </w:pPr>
    </w:p>
    <w:p>
      <w:pPr>
        <w:ind w:left="1100" w:right="20"/>
        <w:spacing w:after="0" w:line="275" w:lineRule="auto"/>
        <w:rPr>
          <w:rFonts w:ascii="Arial" w:cs="Arial" w:eastAsia="Arial" w:hAnsi="Arial"/>
          <w:sz w:val="18"/>
          <w:szCs w:val="18"/>
          <w:color w:val="auto"/>
        </w:rPr>
      </w:pPr>
      <w:r>
        <w:rPr>
          <w:rFonts w:ascii="Arial" w:cs="Arial" w:eastAsia="Arial" w:hAnsi="Arial"/>
          <w:sz w:val="17"/>
          <w:szCs w:val="17"/>
          <w:color w:val="auto"/>
        </w:rPr>
        <w:t>Under the terms of the collaborative project, the Company will have the exclusive and global exploitation rights to the proprietary results of the CNRS and to those of the University of Montpellier as well as a share of the common results of which the CNRS and the University of Montpellier are co-owners. Furthermore, Theradiag granted the Company an exclusive and global license option for exploitation of its own results as well as a share of the common results of which it will be a co-owner. This option may be exercised by the Company throughout the duration of the contract and within a period of two years after its expiration or cancellation.</w:t>
      </w:r>
    </w:p>
    <w:p>
      <w:pPr>
        <w:spacing w:after="0" w:line="284"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i w:val="1"/>
          <w:iCs w:val="1"/>
          <w:color w:val="auto"/>
        </w:rPr>
        <w:t>Exclusive licensing contract with “The Scripps Research Institute, University of Chicago and Brigham Young University” with the “Immune Stimulation” platform (ABX196 product)</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11 November 2006, The Scripps Research Institute (La Jolla, California, USA), in agreement with the University of Chicago (Chicago, Illinois, USA) and Brigham Young University (Provo, Utah, USA), granted the Company an exclusive license in the field of human and veterinary health on its technology and products relating to the use of iNKT agonists for research, diagnosis, prevention and treatment of all possible indications. In consideration for the licensing rights granted to it under the agreement, the Company must:</w:t>
      </w:r>
    </w:p>
    <w:p>
      <w:pPr>
        <w:spacing w:after="0" w:line="92" w:lineRule="exact"/>
        <w:rPr>
          <w:sz w:val="20"/>
          <w:szCs w:val="20"/>
          <w:color w:val="auto"/>
        </w:rPr>
      </w:pPr>
    </w:p>
    <w:p>
      <w:pPr>
        <w:ind w:left="1080" w:hanging="424"/>
        <w:spacing w:after="0" w:line="311" w:lineRule="auto"/>
        <w:tabs>
          <w:tab w:leader="none" w:pos="1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pay The Scripps Research Institute milestones at different stages of clinical and regulatory development of the first product (the milestones amount to $50 thousand at IND filing, paid in September 2019 and capitalized, $300 thousand at Phase 3 and $500 thousand at IND approval) and low single-digit royalties for vaccines, diagnostic tests and therapeutic products, according to the amount of net sales, 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308" w:lineRule="auto"/>
        <w:tabs>
          <w:tab w:leader="none" w:pos="10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give The Scripps Research Institute, University of Chicago and Brigham Young University an equitable interest in the Company (as of the date of these financial statements, these three academic institutions hold 0.41% of the Company’s undiluted capital).</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contract shall be terminated at the expiry of the last licensed patent in force in the last country and/or ten years after the last marketing of the product, service or process derived from the know-how or the licensed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25.2. Commitments under BPI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CARENA contract</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As part of the development of therapeutic and diagnostic solutions targeting alternative splicing and RNA interference in the fields of virology (HIV-AIDS, HTLV-1) and metabolism (obesity), SPLICOS (absorbed by the Company on 31 October 2014) has entered into a Master Support Agreement with Bpifrance as well as a conditional advance contract in the name of the “CARENA” Strategic Industrial Innovation Project dated December 16, 2013. The Company, acting as project leader for the CARENA project, is associated as part of a consortium contract with Theradiag, a company specializing in in vitro diagnostics and the development of theranostic tests for monitoring biotherapies, as well as at the CNRS and the University of Montpellier.</w:t>
      </w:r>
    </w:p>
    <w:p>
      <w:pPr>
        <w:spacing w:after="0" w:line="19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CARENA project aims to develop the anti-HIV-AIDS therapeutic program with the compound ABX464 up to the Phase 2b study, as well as a companion test set up by Theradiag simultaneously with the clinical development. Beyond the anti-HIV-AIDS program, the CARENA project should extend its pharmacological investigations to another retrovirus that could be combated by the same approach: HTLV-1.</w:t>
      </w:r>
    </w:p>
    <w:p>
      <w:pPr>
        <w:spacing w:after="0" w:line="165"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The Company is committed to reimbursing the received conditional advances up to €3,840 thousand. The Company will also have to pay an annuity of 50% of the proceeds from the sale of the intellectual property rights resulting from the project, as well as the sale of the prototypes, preproduction and models produced under the project; The sum due to BPI under this provision will be deducted from the repayment of the conditional advances. In addition, if the advance is repaid under the conditions outlined above, the Company will pay to Bpifrance, over a period of five consecutive years after the date on which the repayment schedule ends and provided that the Company has reached cumulative pre-tax revenue greater than or equal to</w:t>
      </w:r>
    </w:p>
    <w:p>
      <w:pPr>
        <w:spacing w:after="0" w:line="2"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€50 million, an amount equal to 1.20% of the annual revenue generated from the sale of the products developed as part of the project. This supplementary payment amount is capped at €6,800 thousand. The total period, including fixed payments and incentive payments, is limited to 15 years.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RNP-VIR contract</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pursuit of the CARENA project, focused on the clinical development of a drug molecule and demonstrating the validity of an innovative therapeutic approach targeting viral RNPs, the Company has entered into a Master Support Agreement with Bpifrance as well as a beneficiary agreement with conditional advance for the “RNP-VIR” structuring research and development project for competitiveness dated December 16, 2016.</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RNP-VIR project will further the discovery of new molecules aimed at the treatment of multiple infectious diseases by the development of the antiviral technology platform. The Company, acting as project leader of the RNP-VIR project, is associated in a consortium contract with the CNRS and the University of Montpellier.</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is committed to reimburse the received conditional advances up to €6,576 thousand. If applicable, the Company will also have to pay an annuity of 50% of the proceeds from the sale of the intellectual property rights resulting from the project, as well as the sale of the prototypes, preproduction and models produced under the project. The sum due to Bpifrance under this provision will be deducted from the last payment (and if needed from the previous payments).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If the advance is repaid under the conditions outlined above, the Company will pay to Bpifrance, over a period of five consecutive years following the date on which the repayment schedule ends and provided that the company has reached cumulative pre-tax revenue greater than or equal to €25 million, an amount equal to 3% of the annual revenue generated from the sale of products developed as part of the project. The supplementary payments amount is capped at €5,500 thousand. The total period, including fixed payments and incentive payments, is limited to 15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Ebola</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Bpifrance and Occitanie Region joint support agreement granted on June 2, 2017 consists of conditional advances to the Company for a total amount of up to €390 thousand, based on the success of the program (respectively €130 thousand from the Languedoc Roussillon Midi Pyrénées Region and €260 thousand from Bpifrance). In September 2019, the Company decided to terminate this program, due to the existence of a vaccine in the process of being licensed for this indication as well as changes in the macroeconomic climate for public funding.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reimbursement of the conditional advance is spread until June 2024.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25.3. Pledge assets to Kreos</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As part of the KREOS 1 &amp; 2 bonds, Kreos benefits from first-rate collateral on the Company’s principal tangible and intangible assets, including its commercial fund, intellectual property rights in its principal drug candidates, as well as a pledge of the Company’s bank accounts and claims.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25.4. Other commitments related to research and partnership arrangements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ordinary course of business, the Company regularly uses the services of subcontractors and enters into research and partnership arrangements with various contract research organizations, or CROs, and with public- sector partners or subcontractors, who conduct clinical trials and studies in relation to the drug candidates.</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At December 31, 2022, the Company’s commitments amounted to €194,731 thousand. The cost of services performed by CROs is recognized as an operating expense as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25.5. Leases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lease for the Company’s corporate headquarters in Paris, France at 5 Rue de la Baume, 75008 Paris ended in August 2022. A new lease for premises at 7-11 Boulevard Haussmann, 75009 Paris started in July 2022. It has a three-year duration, with a tacit renewal option for approximately two years and the possibility to break the contract one year before the end. Per Management, renewal and termination options are not reasonably certain.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25.6. Commitments related to Prosynergia acquisition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entered into a share purchase acquisition on November 15, 2021 for the acquisition of all the shares of Prosynergia (Note 3.3). The acquisition was completed on April 1, 2022.</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acquisition price included an early payment of €325 thousand made on November 25, 2021, an additional payment of €2,925 thousand made on April 1, 2022, and possible earn-out payments for a maximum additional amount of €4,000 thousand based on the potential evolution of the Company’s market capitalization, a listing of the Company’s shares on Nasdaq or a M&amp;A transaction incurred before March 31, 2023. The accounting treatment related to the possible earn-out payment is set forth in Note 4.15.</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26. Off-balance sheet commitments received and contingent assets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maximum amounts receivable by the Company after December 31, 2022 under the “RNP-VIR” and “CARENA” and innovation agreements entered into with Bpifrance, subject to the provision of evidence to support the forecast expenses and the achievement of scientific milestones, are €3,255 thousand and €1,853 thousand,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Kepler Cheuvreux’s commitments under Equity line agreements: see Note 13.2.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27. Management and assessment of financial risks</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principal financial instruments held by the Company are cash and cash equivalents. The purpose of holding these instruments is to finance the ongoing business activities of the Company. It is not the Company’s policy to invest in financial instruments for speculative purposes. The Company does not use derivative financial instruments for hedging purposes.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principal risks to which the Company is exposed to are liquidity risk, interest rate risk, foreign currency exchange risk, credit risk and fair value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Liquidity risk management aims to ensure that the Company disposes of sufficient liquidity and financial resources to be able to meet present and future obligations.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prepares short-term cash forecasts and annual operating cash flow forecasts as part of its budget procedures.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Prudent liquidity risk management involves maintaining sufficient liquidity, having access to financial resources through appropriate credit facilities and being able to unwind market positions.</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Company’s operations have consumed substantial amounts of cash since inception. Developing pharmaceutical drug candidates, including conducting clinical trials, is expensive, lengthy and risky, and the Company expects its research and development expenses to increase substantially in connection with its ongoing activities. Accordingly, the Company will continue to require substantial additional capital to continue its clinical development activities and potentially engage in commercialization activities.</w:t>
      </w:r>
    </w:p>
    <w:p>
      <w:pPr>
        <w:spacing w:after="0" w:line="18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As of the date of issuance of these financial statements, the Company expects it will be able to fund its forecasted operating cash flow requirements throughout the second quarter of 2024.</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Company expects it will be able to extend its financing horizon beyond the second quarter of 2024 through additional dilutive and non-dilutive financing, which could include a combination of capital increase, venture loans and convertible bonds. Based on the above and the actions the Company has taken, management has concluded that the substantial doubt about its ability to continue as a going concern has been alleviated beyond 12 months from issuance of these financial statements, and these financial statements have been prepared on a going concern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exposed to market risks in connection with its medium and long-term borrowings subject to variable interest rates.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Due to a significant increase in market interest rates over the year ended December 31, 2022, the Group has performed a reassessment of its exposure to interest rate risk. As of December 31, 2022, all the Group’s financial liabilities accounted for at amortized cost bear fixed interest rates, except for KREOS 1 bonds, which interest rate is based on 3-month Euribor plus an 8% margin. The 3-month Euribor being capped at 1% as per contractual terms, the A tranche being repaid in full in December 2022 and the terms of the B tranche loan being November 2023, the Group has limited exposure.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 is exposed to a risk of exchange rates fluctuations on commercial transactions performed in currencies different from the functional currency of the Company entity recording the transactions.</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At this stage, the Company has not adopted any other recurring mechanism of hedging to protect its activity against currency fluctuations. From time to time, the Company may nevertheless subscribe currency term accounts in order to cover a commitment in currency as described above. The Company may consider in the future using a suitable policy to hedge exchange risks in a more significant manner if needed.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credit risk related to the Company’s cash and cash equivalents is not significant in light of the quality of the co-contracting financial institutions. As of December 31, 2022, substantially all of the Company’s cash and cash equivalents were maintained with one financial institution in France. While the Company’s deposit accounts are insured up to the legal limit, the maintained balances may, at times, exceed this insured limit. As of December 31, 2022 the Company maintained €26,844 thousand in bank deposit accounts that are in excess of the legally insured limit in one legally insured financial institution. The Company has not experienced any losses in such accounts and does not believe that it is exposed to any significant credit risk related to these instruments.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credit risk related to the Company’s other receivables and related account is minimal. In particular, the credit risk related to advances made to CROs (see Note 9) is deemed insignificant due to their credit ratings.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AS OF DECEMBER 31,</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4"/>
                <w:szCs w:val="14"/>
                <w:color w:val="auto"/>
              </w:rPr>
            </w:pPr>
          </w:p>
        </w:tc>
        <w:tc>
          <w:tcPr>
            <w:tcW w:w="10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99"/>
              </w:rPr>
              <w:t>6</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18,419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Intangible assets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9"/>
              </w:rPr>
              <w:t>7</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6,607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99"/>
              </w:rPr>
              <w:t>8</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9"/>
              </w:rPr>
              <w:t>9</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11,708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and assets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9"/>
              </w:rPr>
              <w:t>10</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39,363</w:t>
            </w:r>
          </w:p>
        </w:tc>
        <w:tc>
          <w:tcPr>
            <w:tcW w:w="6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receivables and assets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10</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9,231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15,989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9"/>
              </w:rPr>
              <w:t>11</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26,950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114,381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36,181</w:t>
            </w:r>
          </w:p>
        </w:tc>
        <w:tc>
          <w:tcPr>
            <w:tcW w:w="6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75,544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171,081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Share capital</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223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Premiums related to share capital</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150,476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275,383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Reserves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gridSpan w:val="2"/>
          </w:tcPr>
          <w:p>
            <w:pPr>
              <w:jc w:val="right"/>
              <w:ind w:right="620"/>
              <w:spacing w:after="0"/>
              <w:rPr>
                <w:sz w:val="20"/>
                <w:szCs w:val="20"/>
                <w:color w:val="auto"/>
              </w:rPr>
            </w:pPr>
            <w:r>
              <w:rPr>
                <w:rFonts w:ascii="Arial" w:cs="Arial" w:eastAsia="Arial" w:hAnsi="Arial"/>
                <w:sz w:val="18"/>
                <w:szCs w:val="18"/>
                <w:color w:val="auto"/>
              </w:rPr>
              <w:t>(82,770)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(143,366)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(60,740)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(51,953)</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13</w:t>
            </w:r>
          </w:p>
        </w:tc>
        <w:tc>
          <w:tcPr>
            <w:tcW w:w="58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7,189</w:t>
            </w:r>
          </w:p>
        </w:tc>
        <w:tc>
          <w:tcPr>
            <w:tcW w:w="6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Retirement benefit obligations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16</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610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Borrowings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9,127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19,332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566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3,262</w:t>
            </w:r>
          </w:p>
        </w:tc>
        <w:tc>
          <w:tcPr>
            <w:tcW w:w="6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36,223</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44,381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10,077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Convertible loan notes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625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9"/>
              </w:rPr>
              <w:t>15</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3,521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Trade payables and other current liabilities</w:t>
            </w:r>
          </w:p>
        </w:tc>
        <w:tc>
          <w:tcPr>
            <w:tcW w:w="21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5"/>
              </w:rPr>
              <w:t>17.1</w:t>
            </w:r>
          </w:p>
        </w:tc>
        <w:tc>
          <w:tcPr>
            <w:tcW w:w="580" w:type="dxa"/>
            <w:vAlign w:val="bottom"/>
          </w:tcPr>
          <w:p>
            <w:pPr>
              <w:spacing w:after="0"/>
              <w:rPr>
                <w:sz w:val="18"/>
                <w:szCs w:val="18"/>
                <w:color w:val="auto"/>
              </w:rPr>
            </w:pPr>
          </w:p>
        </w:tc>
        <w:tc>
          <w:tcPr>
            <w:tcW w:w="2200" w:type="dxa"/>
            <w:vAlign w:val="bottom"/>
            <w:gridSpan w:val="2"/>
          </w:tcPr>
          <w:p>
            <w:pPr>
              <w:jc w:val="right"/>
              <w:ind w:right="680"/>
              <w:spacing w:after="0"/>
              <w:rPr>
                <w:sz w:val="20"/>
                <w:szCs w:val="20"/>
                <w:color w:val="auto"/>
              </w:rPr>
            </w:pPr>
            <w:r>
              <w:rPr>
                <w:rFonts w:ascii="Arial" w:cs="Arial" w:eastAsia="Arial" w:hAnsi="Arial"/>
                <w:sz w:val="18"/>
                <w:szCs w:val="18"/>
                <w:color w:val="auto"/>
              </w:rPr>
              <w:t>15,475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Tax and employee-related payables</w:t>
            </w:r>
          </w:p>
        </w:tc>
        <w:tc>
          <w:tcPr>
            <w:tcW w:w="214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85"/>
              </w:rPr>
              <w:t>17.2</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Deferred income</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32,132</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46,211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75,544</w:t>
            </w:r>
          </w:p>
        </w:tc>
        <w:tc>
          <w:tcPr>
            <w:tcW w:w="6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940" w:type="dxa"/>
            <w:vAlign w:val="bottom"/>
          </w:tcPr>
          <w:p>
            <w:pPr>
              <w:spacing w:after="0"/>
              <w:rPr>
                <w:sz w:val="24"/>
                <w:szCs w:val="24"/>
                <w:color w:val="auto"/>
              </w:rPr>
            </w:pPr>
          </w:p>
        </w:tc>
        <w:tc>
          <w:tcPr>
            <w:tcW w:w="2720" w:type="dxa"/>
            <w:vAlign w:val="bottom"/>
            <w:gridSpan w:val="3"/>
          </w:tcPr>
          <w:p>
            <w:pPr>
              <w:ind w:left="400"/>
              <w:spacing w:after="0"/>
              <w:rPr>
                <w:sz w:val="20"/>
                <w:szCs w:val="20"/>
                <w:color w:val="auto"/>
              </w:rPr>
            </w:pPr>
            <w:r>
              <w:rPr>
                <w:rFonts w:ascii="Arial" w:cs="Arial" w:eastAsia="Arial" w:hAnsi="Arial"/>
                <w:sz w:val="18"/>
                <w:szCs w:val="18"/>
                <w:color w:val="auto"/>
              </w:rPr>
              <w:t>F-58</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3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80" w:type="dxa"/>
            <w:vAlign w:val="bottom"/>
            <w:tcBorders>
              <w:top w:val="single" w:sz="8" w:color="auto"/>
            </w:tcBorders>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  2022  </w:t>
            </w:r>
          </w:p>
        </w:tc>
        <w:tc>
          <w:tcPr>
            <w:tcW w:w="12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  2023  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w:t>
            </w:r>
          </w:p>
        </w:tc>
        <w:tc>
          <w:tcPr>
            <w:tcW w:w="5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6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b w:val="1"/>
                <w:bCs w:val="1"/>
                <w:color w:val="auto"/>
              </w:rPr>
              <w:t>Total operating income</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6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19.1</w:t>
            </w:r>
          </w:p>
        </w:tc>
        <w:tc>
          <w:tcPr>
            <w:tcW w:w="5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1"/>
              </w:rPr>
              <w:t>19.2</w:t>
            </w:r>
          </w:p>
        </w:tc>
        <w:tc>
          <w:tcPr>
            <w:tcW w:w="520" w:type="dxa"/>
            <w:vAlign w:val="bottom"/>
          </w:tcPr>
          <w:p>
            <w:pPr>
              <w:spacing w:after="0"/>
              <w:rPr>
                <w:sz w:val="18"/>
                <w:szCs w:val="18"/>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(15,107)</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(32,622)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19.3</w:t>
            </w:r>
          </w:p>
        </w:tc>
        <w:tc>
          <w:tcPr>
            <w:tcW w:w="5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(2,223)</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Goodwill impairment loss</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79"/>
              </w:rPr>
              <w:t>6</w:t>
            </w:r>
          </w:p>
        </w:tc>
        <w:tc>
          <w:tcPr>
            <w:tcW w:w="520" w:type="dxa"/>
            <w:vAlign w:val="bottom"/>
          </w:tcPr>
          <w:p>
            <w:pPr>
              <w:spacing w:after="0"/>
              <w:rPr>
                <w:sz w:val="18"/>
                <w:szCs w:val="18"/>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(10,986)</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(28,317)</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(39,535)</w:t>
            </w:r>
          </w:p>
        </w:tc>
        <w:tc>
          <w:tcPr>
            <w:tcW w:w="0" w:type="dxa"/>
            <w:vAlign w:val="bottom"/>
          </w:tcPr>
          <w:p>
            <w:pPr>
              <w:spacing w:after="0"/>
              <w:rPr>
                <w:sz w:val="1"/>
                <w:szCs w:val="1"/>
                <w:color w:val="auto"/>
              </w:rPr>
            </w:pP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(26,033)</w:t>
            </w:r>
          </w:p>
        </w:tc>
        <w:tc>
          <w:tcPr>
            <w:tcW w:w="6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expenses</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(2,346)</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Financial income</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7,195</w:t>
            </w:r>
          </w:p>
        </w:tc>
        <w:tc>
          <w:tcPr>
            <w:tcW w:w="6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Financial gain (loss)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21</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b w:val="1"/>
                <w:bCs w:val="1"/>
                <w:color w:val="auto"/>
              </w:rPr>
              <w:t>Net loss before tax</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w:t>
            </w:r>
          </w:p>
        </w:tc>
        <w:tc>
          <w:tcPr>
            <w:tcW w:w="6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22</w:t>
            </w:r>
          </w:p>
        </w:tc>
        <w:tc>
          <w:tcPr>
            <w:tcW w:w="5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b w:val="1"/>
                <w:bCs w:val="1"/>
                <w:color w:val="auto"/>
              </w:rPr>
              <w:t>Net loss for the period</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w:t>
            </w:r>
          </w:p>
        </w:tc>
        <w:tc>
          <w:tcPr>
            <w:tcW w:w="6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(€/share)</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360"/>
              <w:spacing w:after="0" w:line="201" w:lineRule="exact"/>
              <w:rPr>
                <w:sz w:val="20"/>
                <w:szCs w:val="20"/>
                <w:color w:val="auto"/>
              </w:rPr>
            </w:pPr>
            <w:r>
              <w:rPr>
                <w:rFonts w:ascii="Arial" w:cs="Arial" w:eastAsia="Arial" w:hAnsi="Arial"/>
                <w:sz w:val="18"/>
                <w:szCs w:val="18"/>
                <w:color w:val="auto"/>
                <w:w w:val="99"/>
              </w:rPr>
              <w:t>Weighted average number of outstanding shares used for computing basic/diluted</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540"/>
              <w:spacing w:after="0"/>
              <w:rPr>
                <w:sz w:val="20"/>
                <w:szCs w:val="20"/>
                <w:color w:val="auto"/>
              </w:rPr>
            </w:pPr>
            <w:r>
              <w:rPr>
                <w:rFonts w:ascii="Arial" w:cs="Arial" w:eastAsia="Arial" w:hAnsi="Arial"/>
                <w:sz w:val="18"/>
                <w:szCs w:val="18"/>
                <w:color w:val="auto"/>
              </w:rPr>
              <w:t>loss per share</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16,759,215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35,903,802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23</w:t>
            </w:r>
          </w:p>
        </w:tc>
        <w:tc>
          <w:tcPr>
            <w:tcW w:w="5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(1.26)</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372"/>
        </w:trPr>
        <w:tc>
          <w:tcPr>
            <w:tcW w:w="6860" w:type="dxa"/>
            <w:vAlign w:val="bottom"/>
          </w:tcPr>
          <w:p>
            <w:pPr>
              <w:ind w:left="5340"/>
              <w:spacing w:after="0"/>
              <w:rPr>
                <w:sz w:val="20"/>
                <w:szCs w:val="20"/>
                <w:color w:val="auto"/>
              </w:rPr>
            </w:pPr>
            <w:r>
              <w:rPr>
                <w:rFonts w:ascii="Arial" w:cs="Arial" w:eastAsia="Arial" w:hAnsi="Arial"/>
                <w:sz w:val="18"/>
                <w:szCs w:val="18"/>
                <w:color w:val="auto"/>
              </w:rPr>
              <w:t>F-59</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Notes</w:t>
            </w:r>
          </w:p>
        </w:tc>
        <w:tc>
          <w:tcPr>
            <w:tcW w:w="3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40" w:type="dxa"/>
            <w:vAlign w:val="bottom"/>
            <w:tcBorders>
              <w:top w:val="single" w:sz="8" w:color="auto"/>
            </w:tcBorders>
            <w:gridSpan w:val="2"/>
          </w:tcPr>
          <w:p>
            <w:pPr>
              <w:jc w:val="right"/>
              <w:ind w:right="1000"/>
              <w:spacing w:after="0" w:line="142" w:lineRule="exact"/>
              <w:rPr>
                <w:sz w:val="20"/>
                <w:szCs w:val="20"/>
                <w:color w:val="auto"/>
              </w:rPr>
            </w:pPr>
            <w:r>
              <w:rPr>
                <w:rFonts w:ascii="Arial" w:cs="Arial" w:eastAsia="Arial" w:hAnsi="Arial"/>
                <w:sz w:val="14"/>
                <w:szCs w:val="14"/>
                <w:b w:val="1"/>
                <w:bCs w:val="1"/>
                <w:color w:val="auto"/>
              </w:rPr>
              <w:t>  2022  </w:t>
            </w:r>
          </w:p>
        </w:tc>
        <w:tc>
          <w:tcPr>
            <w:tcW w:w="12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  2023  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(21,183)</w:t>
            </w:r>
          </w:p>
        </w:tc>
        <w:tc>
          <w:tcPr>
            <w:tcW w:w="8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i w:val="1"/>
                <w:iCs w:val="1"/>
                <w:color w:val="auto"/>
              </w:rPr>
              <w:t>Items that will not be reclassified to profit or loss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138</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 on retirement benefit obligations</w:t>
            </w:r>
          </w:p>
        </w:tc>
        <w:tc>
          <w:tcPr>
            <w:tcW w:w="1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16</w:t>
            </w: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i w:val="1"/>
                <w:iCs w:val="1"/>
                <w:color w:val="auto"/>
                <w:w w:val="95"/>
              </w:rPr>
              <w:t>Items that are or may be reclassified subsequently to profit or loss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—  </w:t>
            </w:r>
          </w:p>
        </w:tc>
        <w:tc>
          <w:tcPr>
            <w:tcW w:w="8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80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(21,045)</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(51,871)</w:t>
            </w:r>
          </w:p>
        </w:tc>
        <w:tc>
          <w:tcPr>
            <w:tcW w:w="0" w:type="dxa"/>
            <w:vAlign w:val="bottom"/>
          </w:tcPr>
          <w:p>
            <w:pPr>
              <w:spacing w:after="0"/>
              <w:rPr>
                <w:sz w:val="1"/>
                <w:szCs w:val="1"/>
                <w:color w:val="auto"/>
              </w:rPr>
            </w:pPr>
          </w:p>
        </w:tc>
      </w:tr>
      <w:tr>
        <w:trPr>
          <w:trHeight w:val="372"/>
        </w:trPr>
        <w:tc>
          <w:tcPr>
            <w:tcW w:w="5040" w:type="dxa"/>
            <w:vAlign w:val="bottom"/>
          </w:tcPr>
          <w:p>
            <w:pPr>
              <w:spacing w:after="0"/>
              <w:rPr>
                <w:sz w:val="24"/>
                <w:szCs w:val="24"/>
                <w:color w:val="auto"/>
              </w:rPr>
            </w:pPr>
          </w:p>
        </w:tc>
        <w:tc>
          <w:tcPr>
            <w:tcW w:w="2560" w:type="dxa"/>
            <w:vAlign w:val="bottom"/>
            <w:gridSpan w:val="3"/>
          </w:tcPr>
          <w:p>
            <w:pPr>
              <w:ind w:left="300"/>
              <w:spacing w:after="0"/>
              <w:rPr>
                <w:sz w:val="20"/>
                <w:szCs w:val="20"/>
                <w:color w:val="auto"/>
              </w:rPr>
            </w:pPr>
            <w:r>
              <w:rPr>
                <w:rFonts w:ascii="Arial" w:cs="Arial" w:eastAsia="Arial" w:hAnsi="Arial"/>
                <w:sz w:val="18"/>
                <w:szCs w:val="18"/>
                <w:color w:val="auto"/>
              </w:rPr>
              <w:t>F-60</w:t>
            </w:r>
          </w:p>
        </w:tc>
        <w:tc>
          <w:tcPr>
            <w:tcW w:w="12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600"/>
        <w:spacing w:after="0" w:line="282" w:lineRule="auto"/>
        <w:rPr>
          <w:sz w:val="20"/>
          <w:szCs w:val="20"/>
          <w:color w:val="auto"/>
        </w:rPr>
      </w:pPr>
      <w:r>
        <w:rPr>
          <w:rFonts w:ascii="Arial" w:cs="Arial" w:eastAsia="Arial" w:hAnsi="Arial"/>
          <w:sz w:val="18"/>
          <w:szCs w:val="18"/>
          <w:b w:val="1"/>
          <w:bCs w:val="1"/>
          <w:color w:val="auto"/>
        </w:rPr>
        <w:t>ABIVAX SA UNAUDITED CONDENSED CONSOLIDATED STATEMENTS OF CHANGES IN SHAREHOLDERS’ EQUITY (Amounts in thousands of euros)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PREMIUMS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NET LOSS</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RELATED</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TRANSLATION</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680"/>
              <w:spacing w:after="0" w:line="149" w:lineRule="exact"/>
              <w:rPr>
                <w:sz w:val="20"/>
                <w:szCs w:val="20"/>
                <w:color w:val="auto"/>
              </w:rPr>
            </w:pPr>
            <w:r>
              <w:rPr>
                <w:rFonts w:ascii="Arial" w:cs="Arial" w:eastAsia="Arial" w:hAnsi="Arial"/>
                <w:sz w:val="14"/>
                <w:szCs w:val="14"/>
                <w:i w:val="1"/>
                <w:iCs w:val="1"/>
                <w:color w:val="auto"/>
              </w:rPr>
              <w:t>(In thousands of euros, except</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SHARES</w:t>
            </w:r>
          </w:p>
        </w:tc>
        <w:tc>
          <w:tcPr>
            <w:tcW w:w="88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TO SHARE</w:t>
            </w:r>
          </w:p>
        </w:tc>
        <w:tc>
          <w:tcPr>
            <w:tcW w:w="12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 THE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260" w:type="dxa"/>
            <w:vAlign w:val="bottom"/>
          </w:tcPr>
          <w:p>
            <w:pPr>
              <w:ind w:left="1020"/>
              <w:spacing w:after="0"/>
              <w:rPr>
                <w:sz w:val="20"/>
                <w:szCs w:val="20"/>
                <w:color w:val="auto"/>
              </w:rPr>
            </w:pPr>
            <w:r>
              <w:rPr>
                <w:rFonts w:ascii="Arial" w:cs="Arial" w:eastAsia="Arial" w:hAnsi="Arial"/>
                <w:sz w:val="14"/>
                <w:szCs w:val="14"/>
                <w:i w:val="1"/>
                <w:iCs w:val="1"/>
                <w:color w:val="auto"/>
              </w:rPr>
              <w:t>number of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ISSUED</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RESERVE</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2022</w:t>
            </w: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16,764,051</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168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107,578</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(39,361)</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(42,452)</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800" w:type="dxa"/>
            <w:vAlign w:val="bottom"/>
          </w:tcPr>
          <w:p>
            <w:pPr>
              <w:ind w:left="540"/>
              <w:spacing w:after="0"/>
              <w:rPr>
                <w:sz w:val="20"/>
                <w:szCs w:val="20"/>
                <w:color w:val="auto"/>
              </w:rPr>
            </w:pPr>
            <w:r>
              <w:rPr>
                <w:rFonts w:ascii="Arial" w:cs="Arial" w:eastAsia="Arial" w:hAnsi="Arial"/>
                <w:sz w:val="18"/>
                <w:szCs w:val="18"/>
                <w:color w:val="auto"/>
                <w:w w:val="74"/>
              </w:rPr>
              <w:t>—  </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(21,183)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b w:val="1"/>
                <w:bCs w:val="1"/>
                <w:color w:val="auto"/>
                <w:w w:val="94"/>
              </w:rPr>
              <w:t>Total comprehensive loss for the period</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74"/>
              </w:rPr>
              <w:t>—  </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4"/>
              </w:rPr>
              <w:t>—  </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4"/>
              </w:rPr>
              <w:t>—  </w:t>
            </w:r>
          </w:p>
        </w:tc>
        <w:tc>
          <w:tcPr>
            <w:tcW w:w="280" w:type="dxa"/>
            <w:vAlign w:val="bottom"/>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w:t>
            </w: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Appropriation of 2021 net loss</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42,452</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Exercises of share warrants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19,134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based compensation expense</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Transactions on treasury shares</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16,783,185</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168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107,581</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(82,911)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(21,183)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3,655</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As of January 1, 2023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22,313,185</w:t>
            </w:r>
          </w:p>
        </w:tc>
        <w:tc>
          <w:tcPr>
            <w:tcW w:w="24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79"/>
              </w:rPr>
              <w:t>223</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150,476</w:t>
            </w:r>
          </w:p>
        </w:tc>
        <w:tc>
          <w:tcPr>
            <w:tcW w:w="280" w:type="dxa"/>
            <w:vAlign w:val="bottom"/>
          </w:tcPr>
          <w:p>
            <w:pPr>
              <w:spacing w:after="0"/>
              <w:rPr>
                <w:sz w:val="18"/>
                <w:szCs w:val="18"/>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w w:val="74"/>
              </w:rPr>
              <w:t>—  </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(82,771)</w:t>
            </w:r>
          </w:p>
        </w:tc>
        <w:tc>
          <w:tcPr>
            <w:tcW w:w="2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(60,740)</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(51,953)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(51,953)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Total comprehensive loss for the period</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—  </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(51,953)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(51,871)</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Appropriation of 2022 net loss</w:t>
            </w: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800" w:type="dxa"/>
            <w:vAlign w:val="bottom"/>
          </w:tcPr>
          <w:p>
            <w:pPr>
              <w:ind w:left="540"/>
              <w:spacing w:after="0"/>
              <w:rPr>
                <w:sz w:val="20"/>
                <w:szCs w:val="20"/>
                <w:color w:val="auto"/>
              </w:rPr>
            </w:pPr>
            <w:r>
              <w:rPr>
                <w:rFonts w:ascii="Arial" w:cs="Arial" w:eastAsia="Arial" w:hAnsi="Arial"/>
                <w:sz w:val="18"/>
                <w:szCs w:val="18"/>
                <w:color w:val="auto"/>
                <w:w w:val="74"/>
              </w:rPr>
              <w:t>—  </w:t>
            </w:r>
          </w:p>
        </w:tc>
        <w:tc>
          <w:tcPr>
            <w:tcW w:w="280" w:type="dxa"/>
            <w:vAlign w:val="bottom"/>
            <w:vMerge w:val="continue"/>
          </w:tcPr>
          <w:p>
            <w:pPr>
              <w:spacing w:after="0"/>
              <w:rPr>
                <w:sz w:val="19"/>
                <w:szCs w:val="19"/>
                <w:color w:val="auto"/>
              </w:rPr>
            </w:pP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(60,740)</w:t>
            </w:r>
          </w:p>
        </w:tc>
        <w:tc>
          <w:tcPr>
            <w:tcW w:w="2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60,740</w:t>
            </w:r>
          </w:p>
        </w:tc>
        <w:tc>
          <w:tcPr>
            <w:tcW w:w="280" w:type="dxa"/>
            <w:vAlign w:val="bottom"/>
            <w:vMerge w:val="continue"/>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Capital increase from issuance of ordinary</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20,000,000</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129,800</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Transaction costs related to capital</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increase</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(6,742)</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Exercises of the Kreos share warrants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99,583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1,849</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Exercises of other share warrants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134,800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based compensation expense</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Transactions on treasury shares</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42,547,568</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425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275,383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(143,369)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(51,953)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80,489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F-61</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6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of euros)</w:t>
            </w: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Notes</w:t>
            </w:r>
          </w:p>
        </w:tc>
        <w:tc>
          <w:tcPr>
            <w:tcW w:w="3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980" w:type="dxa"/>
            <w:vAlign w:val="bottom"/>
            <w:tcBorders>
              <w:top w:val="single" w:sz="8" w:color="auto"/>
            </w:tcBorders>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  2022  </w:t>
            </w:r>
          </w:p>
        </w:tc>
        <w:tc>
          <w:tcPr>
            <w:tcW w:w="12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  2023  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(21,183)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(51,953)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rPr>
              <w:t>Elimination of amortization of intangibles and depreciation of property, plant</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and equipment</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151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Impairment loss of goodwill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10,986</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Elimination of retirement benefit obligations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16</w:t>
            </w:r>
          </w:p>
        </w:tc>
        <w:tc>
          <w:tcPr>
            <w:tcW w:w="56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79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share-based compensation expenses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14</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expenses and other</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56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2,326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Increase/(decrease) in derivatives and liabilities fair value</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(7,180)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5"/>
        </w:trPr>
        <w:tc>
          <w:tcPr>
            <w:tcW w:w="636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used in operating activities before change in working capital</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80"/>
              <w:spacing w:after="0"/>
              <w:rPr>
                <w:sz w:val="20"/>
                <w:szCs w:val="20"/>
                <w:color w:val="auto"/>
              </w:rPr>
            </w:pPr>
            <w:r>
              <w:rPr>
                <w:rFonts w:ascii="Arial" w:cs="Arial" w:eastAsia="Arial" w:hAnsi="Arial"/>
                <w:sz w:val="18"/>
                <w:szCs w:val="18"/>
                <w:b w:val="1"/>
                <w:bCs w:val="1"/>
                <w:color w:val="auto"/>
              </w:rPr>
              <w:t>requirements</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(16,340)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(36,818)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other receivables and related accounts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(4,194)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Increase / (decrease) in trade payables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(4,058)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Increase / (decrease) in tax and social security liabilities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Increase / (decrease) in deferred income and other liabilities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working capital requirements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(8,374)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9,219</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(24,714)</w:t>
            </w:r>
          </w:p>
        </w:tc>
        <w:tc>
          <w:tcPr>
            <w:tcW w:w="7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Acquisitions of property, plant and equipment</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(55)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Advance made to CROs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6"/>
                <w:szCs w:val="16"/>
                <w:color w:val="auto"/>
              </w:rPr>
              <w:t xml:space="preserve">Payments for the acquisition of Prosynergia </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 incl. related costs, net of cash</w:t>
            </w:r>
          </w:p>
        </w:tc>
        <w:tc>
          <w:tcPr>
            <w:tcW w:w="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4.16 &amp; 10</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acquired</w:t>
            </w:r>
          </w:p>
        </w:tc>
        <w:tc>
          <w:tcPr>
            <w:tcW w:w="74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(2,898)</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(2,953)</w:t>
            </w:r>
          </w:p>
        </w:tc>
        <w:tc>
          <w:tcPr>
            <w:tcW w:w="7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Capital increases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56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related to capital increase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Warrants subscription</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Repayments of KREOS </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1&amp;2 bond loans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(5,379)</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Repayment of PGE</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treasury shares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Repayments of conditional advances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(40)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Payments of the lease liabilities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w:t>
            </w: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paid</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(882)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(6,431)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116,742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(34,098)</w:t>
            </w:r>
          </w:p>
        </w:tc>
        <w:tc>
          <w:tcPr>
            <w:tcW w:w="7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60,701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26,950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and cash equivalents at the end of the year</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26,602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114,381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(34,098)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87,432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Prosynergia SARL (or “Prosynergia”)</w:t>
      </w:r>
    </w:p>
    <w:p>
      <w:pPr>
        <w:spacing w:after="0" w:line="2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(2)</w:t>
        <w:tab/>
        <w:t>Kreos Capital V UK Ltd (or “Kreos”)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ABIVAX SA NOTES TO THE UNAUDITED INTERIM CONDENSED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1.1. Information on the Group and its business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ABIVAX SA (the “Company”)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on December 4, 2013. Its registered office is located at 7-11 Boulevard Haussmann—75009 Paris, France. The Company is developing therapeutics that harness the body’s natural regulatory mechanisms to modulate the inflammatory response in patients with chronic inflammatory diseases.</w:t>
      </w:r>
    </w:p>
    <w:p>
      <w:pPr>
        <w:spacing w:after="0" w:line="18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These unaudited interim condensed consolidated financial statements (“interim financial statements”) as of and for the six months ended June 30, 2023 comprise the Company and ABIVAX LLC (the “Subsidiary”), the United States subsidiary of ABIVAX SA, created on March 20, 2023 under the laws of the State of Delaware (together referred to as the “Group”).</w:t>
      </w:r>
    </w:p>
    <w:p>
      <w:pPr>
        <w:spacing w:after="0" w:line="18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These unaudited comparative interim condensed consolidated financial statements as of and for the six months ended June 30, 2022 comprise the Company and Prosynergia SARL (“Prosynergia”), a Luxembourg biotech company, acquired on April 1, 2022. The financial statements of Prosynergia were included in the consolidated financial statements of the Company from the date control was obtained (i.e., April 1, 2022) until December 12, 2022, which is the date on which Prosynergia was merged into the Company under the French legal procedure called “Transmission Universelle de Patrimoine</w:t>
      </w:r>
      <w:r>
        <w:rPr>
          <w:rFonts w:ascii="Arial" w:cs="Arial" w:eastAsia="Arial" w:hAnsi="Arial"/>
          <w:sz w:val="18"/>
          <w:szCs w:val="18"/>
          <w:i w:val="1"/>
          <w:iCs w:val="1"/>
          <w:color w:val="auto"/>
        </w:rPr>
        <w:t>”</w:t>
      </w:r>
      <w:r>
        <w:rPr>
          <w:rFonts w:ascii="Arial" w:cs="Arial" w:eastAsia="Arial" w:hAnsi="Arial"/>
          <w:sz w:val="18"/>
          <w:szCs w:val="18"/>
          <w:color w:val="auto"/>
        </w:rPr>
        <w:t xml:space="preserve"> (universal transfer of assets and liabilities). On this date, all of Prosynergia’s assets and liabilities were transferred to the Company and Prosynergia was dissolved.</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Group has incurred losses since its inception and had shareholders’ equity of €80,489 thousand as of June 30, 2023. The Group anticipates incurring additional losses until such time, if ever, that it can generate significant revenue from its drug candidates which are currently under development. Substantial additional financing will be needed by the Group to fund its operations and to commercially develop its drug candidates.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Group’s future operations are highly dependent on a combination of factors, including: (i) the success of its research and development activities;</w:t>
      </w:r>
    </w:p>
    <w:p>
      <w:pPr>
        <w:spacing w:after="0" w:line="46" w:lineRule="exact"/>
        <w:rPr>
          <w:sz w:val="20"/>
          <w:szCs w:val="20"/>
          <w:color w:val="auto"/>
        </w:rPr>
      </w:pPr>
    </w:p>
    <w:p>
      <w:pPr>
        <w:ind w:left="380" w:hanging="264"/>
        <w:spacing w:after="0"/>
        <w:tabs>
          <w:tab w:leader="none" w:pos="3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regulatory approval and market acceptance of its proposed future products; (iii) the timely and successful completion of additional financing and</w:t>
      </w:r>
    </w:p>
    <w:p>
      <w:pPr>
        <w:spacing w:after="0" w:line="32" w:lineRule="exact"/>
        <w:rPr>
          <w:rFonts w:ascii="Arial" w:cs="Arial" w:eastAsia="Arial" w:hAnsi="Arial"/>
          <w:sz w:val="16"/>
          <w:szCs w:val="16"/>
          <w:color w:val="auto"/>
        </w:rPr>
      </w:pPr>
    </w:p>
    <w:p>
      <w:pPr>
        <w:ind w:left="120" w:right="120" w:hanging="4"/>
        <w:spacing w:after="0" w:line="260" w:lineRule="auto"/>
        <w:tabs>
          <w:tab w:leader="none" w:pos="42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development of competitive therapies by other biotechnology and pharmaceutical companies. As a result, the Group is, and expects to continue to be, in the short to mid-term, financed through the issuance of new equity or debt instruments.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is focusing its efforts on the following points:</w:t>
      </w:r>
    </w:p>
    <w:p>
      <w:pPr>
        <w:spacing w:after="0" w:line="131" w:lineRule="exact"/>
        <w:rPr>
          <w:sz w:val="20"/>
          <w:szCs w:val="20"/>
          <w:color w:val="auto"/>
        </w:rPr>
      </w:pPr>
    </w:p>
    <w:p>
      <w:pPr>
        <w:ind w:left="1080" w:right="180" w:hanging="424"/>
        <w:spacing w:after="0" w:line="263"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Continuation of the clinical development program for obefazimod, with priority given to the treatment of chronic inflammatory diseases. The specific order of priority is as follows: chronic inflammatory bowel disease (“IBD”), starting with moderately to severely active ulcerative colitis (“UC”), followed by Crohn’s disease, and other indications.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Continuation of other therapeutic indications of obefazimod according to the relevance of scientific data and research into potential derivative molecules of obefazimod.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Research into new molecules aimed at treating chronic inflammatory diseases (miR-124 platform).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1.2. Date of authorization of issuance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interim financial statements and related notes (the “financial statements”) have been prepared under the responsibility of management of the Group and were approved and authorized for issuance by the Group’s board of directors on September 19,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preparation</w:t>
      </w:r>
    </w:p>
    <w:p>
      <w:pPr>
        <w:spacing w:after="0" w:line="121"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Except for share data and per share amounts, the unaudited interim condensed consolidated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compliance</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These unaudited interim condensed consolidated financial statements as of June 30, 2023 and for the six-month periods ended June 30, 2023 and 2022 have been prepared in accordance with IAS 34 “Interim Financial Reporting” as issued by IASB and as adopted by the European Union (EU) and should be read in conjunction with the latest Group’s annual financial statements for the year ended December 31, 2021 and 2022 of the Group.</w:t>
      </w:r>
    </w:p>
    <w:p>
      <w:pPr>
        <w:spacing w:after="0" w:line="14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They do not include all the information required for a complete set of financial statements prepared under IFRS. They do, however, include selected notes explaining significant events and transactions in order to understand the changes in the Group’s financial position and performance since the last annual financial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accounting policies used to prepare these unaudited interim condensed financial statements are identical to those applied by the Group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 except for:</w:t>
      </w:r>
    </w:p>
    <w:p>
      <w:pPr>
        <w:spacing w:after="0" w:line="116" w:lineRule="exact"/>
        <w:rPr>
          <w:sz w:val="20"/>
          <w:szCs w:val="20"/>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texts whose application is compulsory as from January 1,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specific provisions of IAS 34 used in the preparation of the interim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new texts that are mandatory as of January 1, 2023 are the following:</w:t>
      </w:r>
    </w:p>
    <w:p>
      <w:pPr>
        <w:spacing w:after="0" w:line="131" w:lineRule="exact"/>
        <w:rPr>
          <w:sz w:val="20"/>
          <w:szCs w:val="20"/>
          <w:color w:val="auto"/>
        </w:rPr>
      </w:pPr>
    </w:p>
    <w:p>
      <w:pPr>
        <w:ind w:left="1080" w:hanging="424"/>
        <w:spacing w:after="0"/>
        <w:tabs>
          <w:tab w:leader="none" w:pos="10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Amendments to IAS 1 Presentation of Financial Statements and IFRS Practice Statement 2 – Disclosure of Accounting Policies;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Amendments to IAS 8 – Definition of Accounting Estimates;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Amendments to IAS 12 – Deferred Tax related to Assets and Liabilities arising from a Single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IFRS 17 – Insurance Contracts and related amendments.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new texts have no material impact on the unaudited interim condensed consolidated financial statements as of June 30,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standards and interpretations not yet mandatory as of June 30, 2023 are the following: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IAS 12 – International Tax Reform – Pillar Two Model Rules, whose application is for annual reporting periods beginning on or after January 1, 2023 (not yet approved by the EU);</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IAS 1 – Presentation of Financial Statements – Classification of Liabilities as Current or Non-current, whose application is for annual reporting periods beginning on or after January 1, 2024 (not yet approved by the EU);</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IAS 1 – Non-current Liabilities with Covenants, whose application is for annual reporting periods beginning on or after January 1, 2024 (not yet approved by the EU);</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IFRS 16 – Leases: Lease Liability in a Sale and Leaseback, whose application is for annual reporting periods beginning on or after January 1, 2024 (not yet approved by the EU);</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IAS 7 and IFRS 7 – Supplier Finance Arrangements, whose application is for annual reporting periods beginning on or after January 1, 2024 (not yet approved by the EU);</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texts have not been early adopted. The expected impacts are not considered significant.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Preparation of the financial statements</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interim financial statements of the Group were prepared on a historical cost basis, with the exception of certain asset and liability categories and in accordance with the provisions set out under IFRS such as employee benefits measured using the projected unit credit method, borrowings measured at amortized cost and derivative financial instruments measured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Group has incurred substantial operating losses since inception, and expects to continue to incur significant operating losses for the foreseeable future and may never become profitable. For the six-month period ended June 30, 2023, the Group had a net loss of €52.0 million.</w:t>
      </w:r>
    </w:p>
    <w:p>
      <w:pPr>
        <w:spacing w:after="0" w:line="12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Since inception, the Group has financed its operations through the issuance of ordinary shares with gross aggregate proceeds of €333.9 million, of which €130 million of gross proceeds were from offerings of its ordinary shares on Euronext Paris in February 2023, bank borrowings and structured loans for €125.0 million, reimbursements of Research Tax Credits (Crédit d’Impôt Recherche (“CIR”)) in an aggregate amount of €26.6 million, subsidies received from Banque Publique d’Investissement (“Bpifrance”) (including €13.5 million of subsidies and €6.6 million of conditional advances) and royalty certificates in an amount of €2.9 million. As a result of (a) the Group’s existing cash and cash equivalents of €114.4 million as of June 30, 2023,</w:t>
      </w:r>
    </w:p>
    <w:p>
      <w:pPr>
        <w:spacing w:after="0" w:line="2" w:lineRule="exact"/>
        <w:rPr>
          <w:sz w:val="20"/>
          <w:szCs w:val="20"/>
          <w:color w:val="auto"/>
        </w:rPr>
      </w:pPr>
    </w:p>
    <w:p>
      <w:pPr>
        <w:ind w:left="120" w:hanging="4"/>
        <w:spacing w:after="0" w:line="268" w:lineRule="auto"/>
        <w:tabs>
          <w:tab w:leader="none" w:pos="37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net proceeds of the August 2023 drawdown of the first tranches of the Kreos / Claret Financing and the Heights Financing, collectively amounting to €27.2 million (net of repayments of all outstanding amounts that remained due under the First KC Agreement, the Second KC Agreement and the OCEANE bonds), (c) the available drawdowns of the second tranches of the Kreos / Claret Financing and the Heights Financing (which tranches are not conditional on amount raised in this offering), collectively amounting to €65 million in gross proceeds and (d) the expected reimbursement of the CIR from 2022 in the second half of 2023 amounting to €4.5 million, the Group expects, as of the date of issuance of these financial statements, to be able to fund its forecasted operating cash flow requirements through the third quarter of 2024. This takes into account the Group’s assumption that R&amp;D expenditure will be substantially increased in 2023 driven by the progression of the Phase 3 clinical trials of obefazimod, which started enrollment of patients with moderately to severely active UC in October 2022.</w:t>
      </w:r>
    </w:p>
    <w:p>
      <w:pPr>
        <w:spacing w:after="0" w:line="183"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Group expects it will be able to extend its financing horizon beyond the third quarter of 2024 through additional dilutive and non-dilutive financing, which could include a combination of capital increase, venture loans and convertible bonds. Based on the above and the actions the Group has taken, management has concluded that the substantial doubt about its ability to continue as a going concern has been alleviated beyond 12 months from issuance of these financial statements, and these financial statements have been prepared on a going concern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the Ukraine/Russia Hostilities on the Group</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around the world.</w:t>
      </w:r>
    </w:p>
    <w:p>
      <w:pPr>
        <w:spacing w:after="0" w:line="18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Given these developments, the Group has decided not to include Russia and Belarus in its global Phase 3 program for obefazimod in UC. However, the global scale of this conflict cannot be predicted at this stage. The Group, therefore, cannot rule out an adverse impact of this conflict on its business, including in terms of access to raw materials, logistics, the performance of clinical studies and in relation to any future financing the Group may seek.</w:t>
      </w:r>
    </w:p>
    <w:p>
      <w:pPr>
        <w:spacing w:after="0" w:line="14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Phase 2b maintenance trial of obefazimod in moderately to severely active UC is the Group’s only clinical trial currently in progress in Ukraine. The Group has, however, terminated a few trial sites since the Russia/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Ukraine war 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The Group is also evaluating the possibility to include a few Ukrainian sites in the western part of Ukraine in the ABTECT Phase 3 clinical trials.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Together with its CROs, the Group is making considerable efforts to ensure the follow-up of patients who are unable to come to the study centers.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Monitoring takes place through a remote monitoring system that was established and used successfully during the COVID-19 pandemic.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Significant events for the periods ended December 31, 2022, June 30, 2023 and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3.1. For the period ended December 31,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 SARL – April 2022</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April 1, 2022, the Company acquired 100% of the share capital of Prosynergia SARL (or “Prosynergia”), a Luxembourg biotech company, in order to strengthen its portfolio. The terms of the share purchase acquisition (or the “Prosynergia SPA”) entered on November 15, 2021 included an early payment of €325 thousand made on November 25, 2021, an additional payment of €2,925 thousand made on April 1, 2022, and possible earn-out payments for a maximum additional amount of €4,000 thousand based on the potential evolution of the Company’s market capitalization, a listing of the Company’s shares on Nasdaq or an M&amp;A transaction incurred before March 31, 2023. In addition, the Company granted a loan of €1,400 thousand to Prosynergia on December 1, 2021, which term was at least on December 31, 2025 or at an earlier date in the event of a breach in the Prosynergia SPA. Such prepayment was repayable in cash only in the event the transaction is not completed.</w:t>
      </w:r>
    </w:p>
    <w:p>
      <w:pPr>
        <w:spacing w:after="0" w:line="17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Considering that Prosynergia only owned patent rights but did not enter into any employee contract, research agreement, collaboration agreement or out-licensed agreement, it does not meet the definition of a business under IFRS 3. Consequently, the acquisition cost of this group of assets was allocated between the identifiable assets and liabilities acquired, pro rata to their respective fair values as of April 1, 2022, without recognition of goodwill. Also, the €1,400 thousand loan granted to Prosynergia in December 2021 was included in the acquisition cost to be allocated, as it is considered a prepayment for the acquisition of the group of assets.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with Prosynergia – December 2022</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December 12, 2022, the Company completed the merger with Prosynergia under the French legal procedure called “Transmission Universelle de Patrimoine</w:t>
      </w:r>
      <w:r>
        <w:rPr>
          <w:rFonts w:ascii="Arial" w:cs="Arial" w:eastAsia="Arial" w:hAnsi="Arial"/>
          <w:sz w:val="18"/>
          <w:szCs w:val="18"/>
          <w:i w:val="1"/>
          <w:iCs w:val="1"/>
          <w:color w:val="auto"/>
        </w:rPr>
        <w:t>”</w:t>
      </w:r>
      <w:r>
        <w:rPr>
          <w:rFonts w:ascii="Arial" w:cs="Arial" w:eastAsia="Arial" w:hAnsi="Arial"/>
          <w:sz w:val="18"/>
          <w:szCs w:val="18"/>
          <w:color w:val="auto"/>
        </w:rPr>
        <w:t xml:space="preserve"> (universal transfer of assets and liabilities). All of Prosynergia’s assets and liabilities were transferred to the Company and Prosynergia was dissolved.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In the first half of 2022, management took into account significant external changes in the hepatocellular carcinoma (HC) treatment landscape. These changes were expected to require a new, lengthy, heavy and risky internal development process (use of a combination of compounds). In this context, entering into a licensing partnership to fund the completion of the clinical development of ABX196 was the option being considered.</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As a result of this change in circumstances, an impairment test of the ABX196 Cash Generating Unit (“CGU”) was performed and resulted in an impairment loss of €10,986 thousand of the goodwill allocated to such CGU during the period ended June 30, 2022. As a consequence, the goodwill net carrying amount decreased from €13,586 thousand as of December 31, 2021 to €2,600 thousand as of June 30, 2022.</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080"/>
          </w:cols>
          <w:pgMar w:left="320" w:top="459" w:right="49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Then, during the second half of 2022, due to the lack of progress made in the negotiation of a development partnership, the Group made the decision to freeze the development program for ABX196 in the treatment of hepatocellular cancer. This decision led to the full impairment of the ABX196 goodwill, i.e., an impairment loss of €13,586 thousand related to Wittycell’s goodwill and €45 thousand related to licenses. As of December 31, 2022, the value in use and the fair value less costs to sell of the ABX196 cash-generating unit (“CGU”) are nil.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Forfeiture of AGA plans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AGAs granted in September 2021 were subject to vesting conditions including the completion of an  M&amp;A transaction on or prior to July 31, 2022. As the non-market performance vesting conditions were not satisfied, the Group recognized a reversal of related compensation expense of €1,026 thousand and accrual for social taxes of €205 thousand in the financial statements for the period ended December 31, 2022 (See Note 14).</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Repayment of the advance made to Nice CHU – August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€4,000 thousand advance made to Nice CHU was reimbursed in August 2022 for an amount of €3,302 thousand. The remaining amount of</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€698 thousand was settled by way of compensation with a payable due to the Nice CHU related to the recharge of third-party services expenses that had been invoiced to the Nice CHU as part of the miR-AGE project.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governance – August 2022</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On August 16, 2022, the Group announced a transition in the chairmanship of its Board of Directors. Philippe Pouletty, the Group’s founder and Chairman of the Board of Directors since the Group was created in 2013, informed the Board of Directors of his decision to resign as Chairman with immediate effect. However, after many years of successfully leading the Board of Directors, Mr. Pouletty will continue to support the Group’s development as a member of the Board of Directors.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Pending the appointment of a new, permanent independent Chair, Ms. Corinna zur Bonsen-Thomas, an independent member of the Board of Directors of the Group, carried out the role of interim Chair (see Note 3.2).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Group completed €49.2 million cross-over financing with top-tier US and European investors – September 2022</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September 2, 2022, the Group announced oversubscribed financing of around €49.2 million, led by TCGX with the participation of top-tier investors specializing in the biotechnology sector, such as Venrock Healthcare Capital Partners, Deep Track Capital, Sofinnova Partners, Invus and Truffle Capital.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financing consists of two transactions:</w:t>
      </w:r>
    </w:p>
    <w:p>
      <w:pPr>
        <w:spacing w:after="0" w:line="131" w:lineRule="exact"/>
        <w:rPr>
          <w:sz w:val="20"/>
          <w:szCs w:val="20"/>
          <w:color w:val="auto"/>
        </w:rPr>
      </w:pPr>
    </w:p>
    <w:p>
      <w:pPr>
        <w:ind w:left="1080" w:right="40" w:hanging="424"/>
        <w:spacing w:after="0" w:line="308" w:lineRule="auto"/>
        <w:tabs>
          <w:tab w:leader="none" w:pos="10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 reserved capital increase of a gross amount of approximately €46.2 million through the issuance of 5,530,000 new shares with a nominal value of €0.01 per share, representing 33% of its current share capital, at a subscription price of €8.36 per share; and</w:t>
      </w:r>
    </w:p>
    <w:p>
      <w:pPr>
        <w:spacing w:after="0" w:line="51" w:lineRule="exact"/>
        <w:rPr>
          <w:rFonts w:ascii="Arial" w:cs="Arial" w:eastAsia="Arial" w:hAnsi="Arial"/>
          <w:sz w:val="17"/>
          <w:szCs w:val="17"/>
          <w:color w:val="auto"/>
        </w:rPr>
      </w:pPr>
    </w:p>
    <w:p>
      <w:pPr>
        <w:ind w:left="1080" w:right="300" w:hanging="424"/>
        <w:spacing w:after="0" w:line="311"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an issue of royalty certificates with a subscription price amounting to €2.9 million. The royalty certificates give right to their holders to royalties equal to 2% of the future net sales of obefazimod (worldwide and for all indications) as from the commercialization of such product. The amount of royalties that may be paid under the royalty certificates is capped at €172 million.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proceeds of the financing will primarily be used to fund the advancement of Phase 3 clinical trials for obefazimod in UC.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€3.3 million and were deducted from the share premiums.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Royalty certificates are recorded as financial liabilities at amortized cost (see Note 15.7).</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Group announces first US patient enrollment in global Phase 3 program with obefazimod in UC – October 2022</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October 11, 2022, the Group announced that the first patient was enrolled in the US into its global Phase 3 clinical program with product candidate obefazimod for the treatment of moderately to severely active UC. IQVIA, a global premier contract research organization, is responsible for coordinating the Group’s Phase 3 clinical trial for obefazimod in UC. As of December 31, 2022, the undiscounted amount of the advance payments made by the Group in relation to the IQVIA agreement is €12,187 thousand. They were recorded at inception at their fair value (discounted amount) and subsequently measured at amortized cost calculated using the effective interest rate method. As of December 31, 2022, their carrying amount is €10,471 thousand. The repayment dates of these advances are scheduled between April 2025 and July 2026 (see Note 9).</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3.2. For the period ended June 30, 2023</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The Group announces successful oversubscribed €130.0 million cross-over financing at market price with top-tier US and European Biotech investors – February 2023</w:t>
      </w:r>
    </w:p>
    <w:p>
      <w:pPr>
        <w:spacing w:after="0" w:line="6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February 22, 2023, the Group announced the successful pricing of an oversubscribed €130.0 million financing with high-quality US and European biotech specialist investors, led by TCGX, with participation from existing investors Invus, Deep Track Capital, Sofinnova Partners, Venrock Healthcare Capital Partners, as well as from new investors Great Point Partners, LLC, Deerfield Management Company, Commodore Capital, Samsara BioCapital, Boxer Capital and others, by way of a reserved capital increase of €130 million through the issuance of 20,000,000 newly-issued ordinary shares with a nominal value of €0.01 per share, representing 89.6% of its current share capital, at a subscription price of €6.50 per share.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€6.7 million and were deducted from the share premiums.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governance and management – February-April 2023</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February 17, 2023, and April 18, 2023, the Group respectively announced the appointments of Dr. Sheldon Sloan, M.D., M. Bioethics as new Chief Medical Officer and Michael Ferguson as new Chief Commercial Officer.</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On April 5, 2023, the Group announced the appointment of Marc de Garidel as Chief Executive Officer (“CEO”) and Interim Board Chair, effective May 5, 2023. Corinna zur Bonsen-Thomas will step down as acting Chair, a position she has held since August 2022, and will remain a Board Member. Prof. Hartmut J. Ehrlich, M.D., will retire from the CEO position, which he has held since the Group’s founding in 2013, and will stay on as a strategic advisor until the transition is complete. The Group expects to appoint a long-term Board Chair in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Creation of Abivax LLC – March 2023</w:t>
      </w:r>
    </w:p>
    <w:p>
      <w:pPr>
        <w:spacing w:after="0" w:line="117"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On March 20, 2023, Abivax LLC (or “the Subsidiary”) was formed as a limited liability company under the laws of the State of Delaware. As of the issuance of the financial statements, the Group has full ownership over the Subsidiary. The Subsidiary will host the Group’s operations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Cashless exercise of the Kreos A&amp;B BSA – May 2023</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May 24, 2023, Kreos Capital V UK Ltd (or “Kreos”) opted for the cash less exercise option of the share warrants they held (as defined in Note 15.1), implemented through the repurchase by the Group of 43,070 tranche A share warrants (“Kreos A BSA”) and 43,070 tranche B share warrants (“Kreos B BSA”) and the issuance of respectively 67,887 and 31,696 ordinary shares, as a result of the exercise by Kreos of the outstanding Kreos A &amp; B BSA. The accounting treatment of the operation is set forth in Note 15.1.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3.3. Subsequent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governance and management – July-August 2023</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July 11, 2023, the Group announced the appointments of June Lee, M.D. and Troy Ignelzi as new independent members of the Group’s Board of Directors, replacing Joy Amundson and Jean-Jacques Bertrand.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August 23, 2023, the Group announced the appointment of Patrick Malloy as new Senior Vice President Investor Relations.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Group announces plans to conduct registered public offering in the United States – August 2023</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On August 10, 2023, the Group announced that it planned to conduct a registered public offering of its ordinary shares, in the form of American Depositary Shares, in the United States, subject to market and other conditions, and has confidentially submitted a draft registration statement on Form F-1 to the U.S. Securities and Exchange Commission. The timing, number of securities to be offered in the proposed offering and their price have not yet been determined.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Group secures up to €150 million from two structured debt financing transactions – August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August 20, 2023, the Group concurrently signed two structured debt financing transactions for a total amount of up to €150 million consisting of</w:t>
      </w:r>
    </w:p>
    <w:p>
      <w:pPr>
        <w:spacing w:after="0" w:line="35" w:lineRule="exact"/>
        <w:rPr>
          <w:sz w:val="20"/>
          <w:szCs w:val="20"/>
          <w:color w:val="auto"/>
        </w:rPr>
      </w:pPr>
    </w:p>
    <w:p>
      <w:pPr>
        <w:ind w:left="120" w:right="280" w:hanging="4"/>
        <w:spacing w:after="0" w:line="281" w:lineRule="auto"/>
        <w:tabs>
          <w:tab w:leader="none" w:pos="33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up to €75 million from Kreos Capital and Claret European Growth Capital (the “Kreos / Claret Financing”) together with the issuance of warrants (“the Kreos / Claret BSA”) exercisable to receive ordinary shares of the Company at a fixed ratio of 1:1, for an aggregate exercise price of up to</w:t>
      </w:r>
    </w:p>
    <w:p>
      <w:pPr>
        <w:spacing w:after="0" w:line="1" w:lineRule="exact"/>
        <w:rPr>
          <w:rFonts w:ascii="Arial" w:cs="Arial" w:eastAsia="Arial" w:hAnsi="Arial"/>
          <w:sz w:val="16"/>
          <w:szCs w:val="16"/>
          <w:color w:val="auto"/>
        </w:rPr>
      </w:pPr>
    </w:p>
    <w:p>
      <w:pPr>
        <w:ind w:left="120" w:right="180"/>
        <w:spacing w:after="0" w:line="260" w:lineRule="auto"/>
        <w:rPr>
          <w:rFonts w:ascii="Arial" w:cs="Arial" w:eastAsia="Arial" w:hAnsi="Arial"/>
          <w:sz w:val="16"/>
          <w:szCs w:val="16"/>
          <w:color w:val="auto"/>
        </w:rPr>
      </w:pPr>
      <w:r>
        <w:rPr>
          <w:rFonts w:ascii="Arial" w:cs="Arial" w:eastAsia="Arial" w:hAnsi="Arial"/>
          <w:sz w:val="18"/>
          <w:szCs w:val="18"/>
          <w:color w:val="auto"/>
        </w:rPr>
        <w:t>€8 million and (ii) up to €75 million from a fund advised by Heights Capital Management, Inc. (the “Heights Financing” and together with the Kreos / Claret Financing, the “Transaction”).</w:t>
      </w:r>
    </w:p>
    <w:p>
      <w:pPr>
        <w:spacing w:after="0" w:line="90" w:lineRule="exact"/>
        <w:rPr>
          <w:rFonts w:ascii="Arial" w:cs="Arial" w:eastAsia="Arial" w:hAnsi="Arial"/>
          <w:sz w:val="16"/>
          <w:szCs w:val="16"/>
          <w:color w:val="auto"/>
        </w:rPr>
      </w:pPr>
    </w:p>
    <w:p>
      <w:pPr>
        <w:ind w:left="540" w:hanging="316"/>
        <w:spacing w:after="0"/>
        <w:tabs>
          <w:tab w:leader="none" w:pos="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Overall Structure of the Kreos / Claret Financing</w:t>
      </w:r>
    </w:p>
    <w:p>
      <w:pPr>
        <w:spacing w:after="0" w:line="225"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Kreos / Claret Financing consists of three tranches of €25 million each in aggregate principal amount. The first tranche in aggregate principal amount of €25 million takes the form of senior secured convertible bonds with warrants attached (the “Kreos / Claret OCABSA”) and was drawn on August 21, 2023. The Kreos / Claret OCABSA are convertible into ordinary shares at any time from their issuance at the request of their holders at a fixed conversion price of €21.2209, subject to standard adjustments, including anti-dilution and dividend protections.</w:t>
      </w:r>
    </w:p>
    <w:p>
      <w:pPr>
        <w:spacing w:after="0" w:line="15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second tranche in aggregate principal amount of €25 million takes the form of senior secured non-convertible bonds and may be drawn before March 31, 2024, subject to satisfaction of customary closing conditions. The drawdown of the second tranche is subject to a maximum 10% Debt-To-Market Capitalization Ratio at the time of drawdown. The “Debt-To-Market Capitalization Ratio” is calculated, on any relevant date, by dividing (i) the indebtedness of the Group (including amounts due under the Kreos / Claret Financing but excluding amounts due under the Heights Financing), by (ii) the market capitalization of the Group calculated by multiplying the number of outstanding ordinary shares by the closing price of the ordinary shares on such relevant date.</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third tranche in aggregate principal amount of €25 million takes the form of senior secured non-convertible bonds and may be drawn before July 31, 2024, subject to satisfaction of customary closing conditions. The drawdown of the third tranche is subject to a maximum 10% Debt-To-Market Capitalization Ratio at the time of drawdown (excluding the Heights Financing) and is conditional on the Group raising a minimum of $125 million in gross proceeds through a listing on Nasdaq before June 30, 2024.</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security for the Kreos / Claret Financing signed on August 20, 2023, Kreos and Claret benefit from the grant of first-ranking collateral on the Company’s principal tangible and intangible assets, including pledges over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Company’s business (</w:t>
      </w:r>
      <w:r>
        <w:rPr>
          <w:rFonts w:ascii="Arial" w:cs="Arial" w:eastAsia="Arial" w:hAnsi="Arial"/>
          <w:sz w:val="17"/>
          <w:szCs w:val="17"/>
          <w:i w:val="1"/>
          <w:iCs w:val="1"/>
          <w:color w:val="auto"/>
        </w:rPr>
        <w:t>“fonds de commerce”</w:t>
      </w:r>
      <w:r>
        <w:rPr>
          <w:rFonts w:ascii="Arial" w:cs="Arial" w:eastAsia="Arial" w:hAnsi="Arial"/>
          <w:sz w:val="17"/>
          <w:szCs w:val="17"/>
          <w:color w:val="auto"/>
        </w:rPr>
        <w:t>) as a going concern and intellectual property rights in the Company’s lead drug candidate, as well as pledges over the Company’s bank accounts and receivables. Such securities apply to all tranches of the Kreos / Claret Financing.</w:t>
      </w:r>
    </w:p>
    <w:p>
      <w:pPr>
        <w:spacing w:after="0" w:line="14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 part of the Kreos / Claret Financing, both Kreos and Claret may receive, in addition to the Kreos / Claret OCABSA, warrants exercisable at a fixed ratio of 1:1, in two tranches. The first tranche of 214,198 warrants is exercisable immediately at an exercise price of €18.6744 (corresponding to a 10% premium over the 15-day VWAP prior to the date on which their issuance was decided). The second tranche may be issued within 14 days of the date on which the conditions to draw the third tranche of non-convertible bonds of the Kreos / Claret Financing have been met. The exercise price of the additional warrants to be issued will be equal to 110% of the 15-day VWAP prior to the date on which their issuance is decided. The number of warrants to be issued will be calculated by dividing €4,000,000 by the aforementioned exercise price. Of these additional warrants, 50% will be exercisable upon issuance and the remaining 50% shall only be exercisable if the third tranche of the Kreos / Claret Financing is drawn by Abivax. The Kreos / Claret warrants can be exercised over a period of 7 years from their issuance date or up until the date of the successful closing of a tender offer for the ordinary shares, whichever is earlier. At the time of exercise of the Kreos / Claret warrants, the holders of the warrants are eligible to sell part of their warrants to Abivax in accordance with a put option agreement to allow for a cashless exercise.</w:t>
      </w:r>
    </w:p>
    <w:p>
      <w:pPr>
        <w:spacing w:after="0" w:line="74" w:lineRule="exact"/>
        <w:rPr>
          <w:sz w:val="20"/>
          <w:szCs w:val="20"/>
          <w:color w:val="auto"/>
        </w:rPr>
      </w:pPr>
    </w:p>
    <w:p>
      <w:pPr>
        <w:ind w:left="540" w:hanging="316"/>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Overall Structure of the Heights Financing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€75 million Heights Financing consists of two tranches (collectively, the “Heights Convertible Notes”).</w:t>
      </w:r>
    </w:p>
    <w:p>
      <w:pPr>
        <w:spacing w:after="0" w:line="2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first tranche of €35 million in aggregate principal amount is composed of 350 amortizing senior convertible notes with a nominal value of €100,000 each and a fixed conversion price of €23.7674 (corresponding to a 40% premium over the 15-day VWAP prior to the date on which their issuance is decided, and subject to standard adjustments, including anti-dilution and dividend protections).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second tranche of €40 million in aggregate principal amount is composed of 400 amortizing senior convertible notes with a nominal value of</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€100,000 each, and a conversion price (if any) that will be equal to 130% of the 15-day VWAP immediately preceding the date on which their issuance will be decided.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first tranche in aggregate principal amount of €35 million was drawn on August 24, 2023.</w:t>
      </w:r>
    </w:p>
    <w:p>
      <w:pPr>
        <w:spacing w:after="0" w:line="22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second tranche in aggregate principal amount of up to €40 million may be drawn during the period from the date immediately following the three-month anniversary of the issuance of the first tranche to the first-year anniversary of the issuance of the first tranche. It may be drawn in up to two separate closings to provide the Group with additional flexibility to request a partial drawdown. The amount available for drawdown under the second tranche will be determined based on the Group’s Market Capitalization and the average daily valued traded of Ordinary Shares (“ADVT”) over the three-month period preceding the drawdown.</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Heights Financing is a senior, unsecured financing.</w:t>
      </w:r>
    </w:p>
    <w:p>
      <w:pPr>
        <w:spacing w:after="0" w:line="116" w:lineRule="exact"/>
        <w:rPr>
          <w:sz w:val="20"/>
          <w:szCs w:val="20"/>
          <w:color w:val="auto"/>
        </w:rPr>
      </w:pPr>
    </w:p>
    <w:p>
      <w:pPr>
        <w:ind w:left="540" w:hanging="316"/>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first tranches of the Kreos / Claret Financing and the Heights Financing, for €25 million and €35 million, respectively, were drawn on August 21, 2023, and August 24, 2023, respectively. In addition, the Group concurrently granted to Kreos and Claret, for no additional consideration, warrants exercisable to receive ordinary shares of the Company for an aggregate exercise price of up to €4 million.</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As part of the Transaction, the Group is also repaying in full a total outstanding amount of €32,763 thousand under (i) the pre-existing debt agreements with Kreos for a total amount of €7,661 thousand and (ii) the pre-existing OCEANE bonds for a total amount of €25,102 thousand by way of set-off with the Heights Financing, thereby fully repaying such pre-existing indebtedness.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net proceeds of the drawdown of the first tranche of the Kreos / Claret Financing and of the Heights Financing which, net of the refinancing of the existing indebtedness, amount to €27,237 thousand in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00"/>
          </w:cols>
          <w:pgMar w:left="320" w:top="459" w:right="47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aggregate, are expected to be allocated mainly to the development of obefazimod for the treatment of adults with moderately to severely active UC and other potential chronic inflammatory indications, as well for working capital and general corporate purposes of the Company.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Accounting principles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accounting policies are the same as those described in the last annual financial statements of the Group.</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judgments and estimates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 preparing these unaudited consolidated financial statements, management has made judgments and estimates that affect the application of the Group’s accounting policies and the reported amounts of assets and liabilities, income and expenses. Actual values may differ from estimated values.</w:t>
      </w:r>
    </w:p>
    <w:p>
      <w:pPr>
        <w:spacing w:after="0" w:line="12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significant judgments made by management in the application of the Group’s accounting policies and the key sources of estimation uncertainty are the same as those described in the last annual financial statements of the Group.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fair values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number of the Group’s accounting policies require the measurement of fair values, for both financial and non-financial assets and liabilities.</w:t>
      </w:r>
    </w:p>
    <w:p>
      <w:pPr>
        <w:spacing w:after="0" w:line="23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When measuring the fair value of an asset or a liability, the Group uses market observable data as far as possible. Fair values are categorized into different levels in a fair value hierarchy based on the inputs used in the valuation techniques as follows.</w:t>
      </w:r>
    </w:p>
    <w:p>
      <w:pPr>
        <w:spacing w:after="0" w:line="76" w:lineRule="exact"/>
        <w:rPr>
          <w:sz w:val="20"/>
          <w:szCs w:val="20"/>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either directly (i.e., prices) or indirectly (i.e., derived from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operations are not subject to significant seasonality.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assessment of the Group’s performance and the decisions about resources to be allocated are made by the chief operating decision maker, based on the management reporting system of the Group. The Group identified the Chief Executive Officer of the Group as “Chief operating decision maker”. The Chief operating decision maker reviews on an aggregated basis the incurred expenses for allocating and evaluating performance of the Group.</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operates in a single operating segment: R&amp;D of pharmaceutical products in order to market them in the future.</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Substantially all operations, assets, liabilities, and losses of the Group are located in France. As of June 30, 2023, the US Subsidiary has only incurred non-significant employee-related costs and its assets and liabilities are non-significant.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00"/>
          </w:cols>
          <w:pgMar w:left="320" w:top="459" w:right="47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Goodwill and impairment test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relates to the acquisition of Splicos SAS that occurred in 2014 (i.e., prior the transition date to IFRS).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Goodwill from the Splicos SAS acquisition corresponds to the “Modulation of RNA biogenesis / splicing” technological platform, from which derived the lead drug candidate of the Group: ABX464.</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accordance with IAS 36, goodwill is allocated to groups of cash generating units (CGUs) at a level corresponding to the lead drug candidates. Thus, goodwill from Splicos SAS is allocated to the ABX464 CGU.</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net carrying amount of Splicos SAS goodwill is €18,419 thousand as of December 31, 2022 and June 30, 2023.</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ABX464 product being currently in development, a clinical trial failure or a failure to obtain a marketing approval could result in an impairment. As of June 30, 2023, the Group has not identified any indication of impairment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are mainly comprised of the intellectual property underlying:</w:t>
      </w:r>
    </w:p>
    <w:p>
      <w:pPr>
        <w:spacing w:after="0" w:line="131" w:lineRule="exact"/>
        <w:rPr>
          <w:sz w:val="20"/>
          <w:szCs w:val="20"/>
          <w:color w:val="auto"/>
        </w:rPr>
      </w:pPr>
    </w:p>
    <w:p>
      <w:pPr>
        <w:ind w:left="540" w:right="60" w:hanging="424"/>
        <w:spacing w:after="0" w:line="263"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exclusive license agreement with the Scripps Research Institute, University of Chicago and Brigham Young University for which the Group paid a milestone of €45 thousand in September 2019 as a result of an IND filling of ABX196. The asset was fully impaired in 2022 along with the goodwill allocated to the ABX196 CGU.</w:t>
      </w:r>
    </w:p>
    <w:p>
      <w:pPr>
        <w:spacing w:after="0" w:line="89" w:lineRule="exact"/>
        <w:rPr>
          <w:rFonts w:ascii="Arial" w:cs="Arial" w:eastAsia="Arial" w:hAnsi="Arial"/>
          <w:sz w:val="18"/>
          <w:szCs w:val="18"/>
          <w:color w:val="auto"/>
        </w:rPr>
      </w:pPr>
    </w:p>
    <w:p>
      <w:pPr>
        <w:ind w:left="540" w:right="480" w:hanging="424"/>
        <w:spacing w:after="0" w:line="286" w:lineRule="auto"/>
        <w:tabs>
          <w:tab w:leader="none" w:pos="5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collaboration and license agreement with the CNRS, Montpellier 2 university and the Curie for which the Group paid a €40 thousand milestone in September 2019 as a result of the entry in phase 2 of ABX464/obefazimod clinical study. Also, in January 2022, the Group was invoiced a €35 thousand milestone as a result of the entry of phase 3 ABX464/obefazimod clinical study.</w:t>
      </w:r>
    </w:p>
    <w:p>
      <w:pPr>
        <w:spacing w:after="0" w:line="70" w:lineRule="exact"/>
        <w:rPr>
          <w:rFonts w:ascii="Arial" w:cs="Arial" w:eastAsia="Arial" w:hAnsi="Arial"/>
          <w:sz w:val="17"/>
          <w:szCs w:val="17"/>
          <w:color w:val="auto"/>
        </w:rPr>
      </w:pPr>
    </w:p>
    <w:p>
      <w:pPr>
        <w:ind w:left="540" w:right="120" w:hanging="424"/>
        <w:spacing w:after="0" w:line="259"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Patents acquired through the acquisition of Prosynergia of €6,529 thousand. These patents cover alternative synthesis process for obefazimod and a family of close chemical analogues. They also cover alternative forms of obefazimod (salts thereof and crystalline forms of said salts), the pharmaceutical composition comprising them, that could be of interest to Abivax for future development. The patents are not yet amortized, similarly to licenses.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presents movements in intangible assets as of June 30, 2023 and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LICENCES</w:t>
            </w:r>
          </w:p>
        </w:tc>
        <w:tc>
          <w:tcPr>
            <w:tcW w:w="200" w:type="dxa"/>
            <w:vAlign w:val="bottom"/>
          </w:tcPr>
          <w:p>
            <w:pPr>
              <w:spacing w:after="0"/>
              <w:rPr>
                <w:sz w:val="14"/>
                <w:szCs w:val="1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SOFTWARES</w:t>
            </w:r>
          </w:p>
        </w:tc>
        <w:tc>
          <w:tcPr>
            <w:tcW w:w="10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PATENTS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1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182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b w:val="1"/>
                <w:bCs w:val="1"/>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110</w:t>
            </w:r>
          </w:p>
        </w:tc>
      </w:tr>
      <w:tr>
        <w:trPr>
          <w:trHeight w:val="27"/>
        </w:trPr>
        <w:tc>
          <w:tcPr>
            <w:tcW w:w="4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82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280" w:type="dxa"/>
            <w:vAlign w:val="bottom"/>
            <w:tcBorders>
              <w:right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6,529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6,564</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6,529</w:t>
            </w: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6,673</w:t>
            </w:r>
          </w:p>
        </w:tc>
        <w:tc>
          <w:tcPr>
            <w:tcW w:w="120" w:type="dxa"/>
            <w:vAlign w:val="bottom"/>
          </w:tcPr>
          <w:p>
            <w:pPr>
              <w:spacing w:after="0"/>
              <w:rPr>
                <w:sz w:val="19"/>
                <w:szCs w:val="19"/>
                <w:color w:val="auto"/>
              </w:rPr>
            </w:pPr>
          </w:p>
        </w:tc>
      </w:tr>
      <w:tr>
        <w:trPr>
          <w:trHeight w:val="398"/>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LICENCES</w:t>
            </w: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SOFTWARES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PATENTS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1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b w:val="1"/>
                <w:bCs w:val="1"/>
                <w:color w:val="auto"/>
              </w:rPr>
              <w:t>—  </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b w:val="1"/>
                <w:bCs w:val="1"/>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w:t>
            </w:r>
          </w:p>
        </w:tc>
      </w:tr>
      <w:tr>
        <w:trPr>
          <w:trHeight w:val="27"/>
        </w:trPr>
        <w:tc>
          <w:tcPr>
            <w:tcW w:w="4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1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74"/>
              </w:rPr>
              <w:t>—  </w:t>
            </w:r>
          </w:p>
        </w:tc>
        <w:tc>
          <w:tcPr>
            <w:tcW w:w="60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74"/>
              </w:rPr>
              <w:t>—  </w:t>
            </w:r>
          </w:p>
        </w:tc>
        <w:tc>
          <w:tcPr>
            <w:tcW w:w="640" w:type="dxa"/>
            <w:vAlign w:val="bottom"/>
            <w:gridSpan w:val="2"/>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r>
      <w:tr>
        <w:trPr>
          <w:trHeight w:val="372"/>
        </w:trPr>
        <w:tc>
          <w:tcPr>
            <w:tcW w:w="4780" w:type="dxa"/>
            <w:vAlign w:val="bottom"/>
          </w:tcPr>
          <w:p>
            <w:pPr>
              <w:spacing w:after="0"/>
              <w:rPr>
                <w:sz w:val="24"/>
                <w:szCs w:val="24"/>
                <w:color w:val="auto"/>
              </w:rPr>
            </w:pPr>
          </w:p>
        </w:tc>
        <w:tc>
          <w:tcPr>
            <w:tcW w:w="2880" w:type="dxa"/>
            <w:vAlign w:val="bottom"/>
            <w:gridSpan w:val="5"/>
          </w:tcPr>
          <w:p>
            <w:pPr>
              <w:ind w:left="560"/>
              <w:spacing w:after="0"/>
              <w:rPr>
                <w:sz w:val="20"/>
                <w:szCs w:val="20"/>
                <w:color w:val="auto"/>
              </w:rPr>
            </w:pPr>
            <w:r>
              <w:rPr>
                <w:rFonts w:ascii="Arial" w:cs="Arial" w:eastAsia="Arial" w:hAnsi="Arial"/>
                <w:sz w:val="18"/>
                <w:szCs w:val="18"/>
                <w:color w:val="auto"/>
              </w:rPr>
              <w:t>F-72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LICENCES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SOFTWARES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8"/>
              </w:rPr>
              <w:t>TOTAL</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380" w:type="dxa"/>
            <w:vAlign w:val="bottom"/>
            <w:gridSpan w:val="8"/>
          </w:tcPr>
          <w:p>
            <w:pPr>
              <w:jc w:val="right"/>
              <w:ind w:right="160"/>
              <w:spacing w:after="0"/>
              <w:rPr>
                <w:sz w:val="20"/>
                <w:szCs w:val="20"/>
                <w:color w:val="auto"/>
              </w:rPr>
            </w:pPr>
            <w:r>
              <w:rPr>
                <w:rFonts w:ascii="Arial" w:cs="Arial" w:eastAsia="Arial" w:hAnsi="Arial"/>
                <w:sz w:val="18"/>
                <w:szCs w:val="18"/>
                <w:color w:val="auto"/>
              </w:rPr>
              <w:t>85</w:t>
            </w:r>
          </w:p>
        </w:tc>
        <w:tc>
          <w:tcPr>
            <w:tcW w:w="1520" w:type="dxa"/>
            <w:vAlign w:val="bottom"/>
            <w:gridSpan w:val="7"/>
          </w:tcPr>
          <w:p>
            <w:pPr>
              <w:jc w:val="right"/>
              <w:ind w:right="2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ind w:left="2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1380" w:type="dxa"/>
            <w:vAlign w:val="bottom"/>
            <w:gridSpan w:val="8"/>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520" w:type="dxa"/>
            <w:vAlign w:val="bottom"/>
            <w:gridSpan w:val="7"/>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300" w:type="dxa"/>
            <w:vAlign w:val="bottom"/>
            <w:tcBorders>
              <w:right w:val="single" w:sz="8" w:color="CCEEFF"/>
            </w:tcBorders>
            <w:gridSpan w:val="7"/>
            <w:shd w:val="clear" w:color="auto" w:fill="CCEEFF"/>
          </w:tcPr>
          <w:p>
            <w:pPr>
              <w:jc w:val="right"/>
              <w:ind w:right="520"/>
              <w:spacing w:after="0"/>
              <w:rPr>
                <w:sz w:val="20"/>
                <w:szCs w:val="20"/>
                <w:color w:val="auto"/>
              </w:rPr>
            </w:pPr>
            <w:r>
              <w:rPr>
                <w:rFonts w:ascii="Arial" w:cs="Arial" w:eastAsia="Arial" w:hAnsi="Arial"/>
                <w:sz w:val="18"/>
                <w:szCs w:val="18"/>
                <w:color w:val="auto"/>
              </w:rPr>
              <w:t>6,529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6,654</w:t>
            </w:r>
          </w:p>
        </w:tc>
      </w:tr>
      <w:tr>
        <w:trPr>
          <w:trHeight w:val="391"/>
        </w:trPr>
        <w:tc>
          <w:tcPr>
            <w:tcW w:w="62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LICENCES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SOFTWARES</w:t>
            </w:r>
          </w:p>
        </w:tc>
        <w:tc>
          <w:tcPr>
            <w:tcW w:w="120" w:type="dxa"/>
            <w:vAlign w:val="bottom"/>
          </w:tcPr>
          <w:p>
            <w:pPr>
              <w:spacing w:after="0"/>
              <w:rPr>
                <w:sz w:val="24"/>
                <w:szCs w:val="24"/>
                <w:color w:val="auto"/>
              </w:rPr>
            </w:pPr>
          </w:p>
        </w:tc>
        <w:tc>
          <w:tcPr>
            <w:tcW w:w="1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PATENTS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340" w:type="dxa"/>
            <w:vAlign w:val="bottom"/>
            <w:gridSpan w:val="2"/>
          </w:tcPr>
          <w:p>
            <w:pPr>
              <w:spacing w:after="0"/>
              <w:rPr>
                <w:sz w:val="18"/>
                <w:szCs w:val="18"/>
                <w:color w:val="auto"/>
              </w:rPr>
            </w:pPr>
          </w:p>
        </w:tc>
        <w:tc>
          <w:tcPr>
            <w:tcW w:w="880" w:type="dxa"/>
            <w:vAlign w:val="bottom"/>
            <w:gridSpan w:val="5"/>
          </w:tcPr>
          <w:p>
            <w:pPr>
              <w:ind w:left="480"/>
              <w:spacing w:after="0"/>
              <w:rPr>
                <w:sz w:val="20"/>
                <w:szCs w:val="20"/>
                <w:color w:val="auto"/>
              </w:rPr>
            </w:pPr>
            <w:r>
              <w:rPr>
                <w:rFonts w:ascii="Arial" w:cs="Arial" w:eastAsia="Arial" w:hAnsi="Arial"/>
                <w:sz w:val="18"/>
                <w:szCs w:val="18"/>
                <w:b w:val="1"/>
                <w:bCs w:val="1"/>
                <w:color w:val="auto"/>
              </w:rPr>
              <w:t>120</w:t>
            </w:r>
          </w:p>
        </w:tc>
        <w:tc>
          <w:tcPr>
            <w:tcW w:w="160" w:type="dxa"/>
            <w:vAlign w:val="bottom"/>
          </w:tcPr>
          <w:p>
            <w:pPr>
              <w:spacing w:after="0"/>
              <w:rPr>
                <w:sz w:val="18"/>
                <w:szCs w:val="18"/>
                <w:color w:val="auto"/>
              </w:rPr>
            </w:pPr>
          </w:p>
        </w:tc>
        <w:tc>
          <w:tcPr>
            <w:tcW w:w="12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8"/>
                <w:szCs w:val="18"/>
                <w:color w:val="auto"/>
              </w:rPr>
            </w:pPr>
          </w:p>
        </w:tc>
        <w:tc>
          <w:tcPr>
            <w:tcW w:w="130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6,529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6,673</w:t>
            </w: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w w:val="79"/>
              </w:rPr>
              <w:t>120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6,529</w:t>
            </w: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6,673</w:t>
            </w:r>
          </w:p>
        </w:tc>
        <w:tc>
          <w:tcPr>
            <w:tcW w:w="120" w:type="dxa"/>
            <w:vAlign w:val="bottom"/>
          </w:tcPr>
          <w:p>
            <w:pPr>
              <w:spacing w:after="0"/>
              <w:rPr>
                <w:sz w:val="19"/>
                <w:szCs w:val="19"/>
                <w:color w:val="auto"/>
              </w:rPr>
            </w:pPr>
          </w:p>
        </w:tc>
      </w:tr>
      <w:tr>
        <w:trPr>
          <w:trHeight w:val="398"/>
        </w:trPr>
        <w:tc>
          <w:tcPr>
            <w:tcW w:w="62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LICENCES</w:t>
            </w:r>
          </w:p>
        </w:tc>
        <w:tc>
          <w:tcPr>
            <w:tcW w:w="15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6"/>
              </w:rPr>
              <w:t>SOFTWARES</w:t>
            </w:r>
          </w:p>
        </w:tc>
        <w:tc>
          <w:tcPr>
            <w:tcW w:w="1300" w:type="dxa"/>
            <w:vAlign w:val="bottom"/>
            <w:gridSpan w:val="7"/>
          </w:tcPr>
          <w:p>
            <w:pPr>
              <w:spacing w:after="0"/>
              <w:rPr>
                <w:sz w:val="20"/>
                <w:szCs w:val="20"/>
                <w:color w:val="auto"/>
              </w:rPr>
            </w:pPr>
            <w:r>
              <w:rPr>
                <w:rFonts w:ascii="Arial" w:cs="Arial" w:eastAsia="Arial" w:hAnsi="Arial"/>
                <w:sz w:val="14"/>
                <w:szCs w:val="14"/>
                <w:b w:val="1"/>
                <w:bCs w:val="1"/>
                <w:color w:val="auto"/>
              </w:rPr>
              <w:t>PATENTS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980" w:type="dxa"/>
            <w:vAlign w:val="bottom"/>
            <w:gridSpan w:val="5"/>
          </w:tcPr>
          <w:p>
            <w:pPr>
              <w:ind w:left="50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—  </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(66)</w:t>
            </w:r>
          </w:p>
        </w:tc>
      </w:tr>
      <w:tr>
        <w:trPr>
          <w:trHeight w:val="27"/>
        </w:trPr>
        <w:tc>
          <w:tcPr>
            <w:tcW w:w="6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120" w:type="dxa"/>
            <w:vAlign w:val="bottom"/>
            <w:tcBorders>
              <w:right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2023</w:t>
            </w:r>
          </w:p>
        </w:tc>
        <w:tc>
          <w:tcPr>
            <w:tcW w:w="740" w:type="dxa"/>
            <w:vAlign w:val="bottom"/>
            <w:tcBorders>
              <w:top w:val="single" w:sz="8" w:color="auto"/>
              <w:bottom w:val="single" w:sz="8" w:color="auto"/>
            </w:tcBorders>
            <w:gridSpan w:val="4"/>
          </w:tcPr>
          <w:p>
            <w:pPr>
              <w:ind w:left="500"/>
              <w:spacing w:after="0"/>
              <w:rPr>
                <w:sz w:val="20"/>
                <w:szCs w:val="20"/>
                <w:color w:val="auto"/>
              </w:rPr>
            </w:pPr>
            <w:r>
              <w:rPr>
                <w:rFonts w:ascii="Arial" w:cs="Arial" w:eastAsia="Arial" w:hAnsi="Arial"/>
                <w:sz w:val="17"/>
                <w:szCs w:val="17"/>
                <w:b w:val="1"/>
                <w:bCs w:val="1"/>
                <w:color w:val="auto"/>
                <w:w w:val="72"/>
              </w:rPr>
              <w:t>(45)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1"/>
              </w:rPr>
              <w:t>—  </w:t>
            </w:r>
          </w:p>
        </w:tc>
        <w:tc>
          <w:tcPr>
            <w:tcW w:w="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r>
      <w:tr>
        <w:trPr>
          <w:trHeight w:val="398"/>
        </w:trPr>
        <w:tc>
          <w:tcPr>
            <w:tcW w:w="62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40" w:type="dxa"/>
            <w:vAlign w:val="bottom"/>
          </w:tcPr>
          <w:p>
            <w:pPr>
              <w:spacing w:after="0"/>
              <w:rPr>
                <w:sz w:val="24"/>
                <w:szCs w:val="24"/>
                <w:color w:val="auto"/>
              </w:rPr>
            </w:pPr>
          </w:p>
        </w:tc>
        <w:tc>
          <w:tcPr>
            <w:tcW w:w="11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LICENCES</w:t>
            </w:r>
          </w:p>
        </w:tc>
        <w:tc>
          <w:tcPr>
            <w:tcW w:w="220" w:type="dxa"/>
            <w:vAlign w:val="bottom"/>
          </w:tcPr>
          <w:p>
            <w:pPr>
              <w:spacing w:after="0"/>
              <w:rPr>
                <w:sz w:val="24"/>
                <w:szCs w:val="24"/>
                <w:color w:val="auto"/>
              </w:rPr>
            </w:pPr>
          </w:p>
        </w:tc>
        <w:tc>
          <w:tcPr>
            <w:tcW w:w="13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SOFTWARES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TOTAL</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1080" w:type="dxa"/>
            <w:vAlign w:val="bottom"/>
            <w:gridSpan w:val="6"/>
          </w:tcPr>
          <w:p>
            <w:pPr>
              <w:ind w:left="80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Arial" w:cs="Arial" w:eastAsia="Arial" w:hAnsi="Arial"/>
                <w:sz w:val="18"/>
                <w:szCs w:val="18"/>
                <w:color w:val="auto"/>
              </w:rPr>
              <w:t>6,529</w:t>
            </w:r>
          </w:p>
        </w:tc>
        <w:tc>
          <w:tcPr>
            <w:tcW w:w="5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6,607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108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6,529</w:t>
            </w:r>
          </w:p>
        </w:tc>
        <w:tc>
          <w:tcPr>
            <w:tcW w:w="5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6,605</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presents movements in property, plant and equipment including the right of use of assets (or “ROU”) as of June 30, 2023 and 2022:</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FURNITURE</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AND</w:t>
            </w: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rPr>
              <w:t>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BUILDINGS</w:t>
            </w: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EQUIPMENT</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COMPUTER</w:t>
            </w: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rPr>
              <w:t>WHICH</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EQUIPMENT</w:t>
            </w:r>
          </w:p>
        </w:tc>
        <w:tc>
          <w:tcPr>
            <w:tcW w:w="1060" w:type="dxa"/>
            <w:vAlign w:val="bottom"/>
            <w:gridSpan w:val="2"/>
            <w:vMerge w:val="continue"/>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6"/>
              </w:rPr>
              <w:t>ROU</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300" w:type="dxa"/>
            <w:vAlign w:val="bottom"/>
            <w:gridSpan w:val="2"/>
          </w:tcPr>
          <w:p>
            <w:pPr>
              <w:ind w:left="540"/>
              <w:spacing w:after="0"/>
              <w:rPr>
                <w:sz w:val="20"/>
                <w:szCs w:val="20"/>
                <w:color w:val="auto"/>
              </w:rPr>
            </w:pPr>
            <w:r>
              <w:rPr>
                <w:rFonts w:ascii="Arial" w:cs="Arial" w:eastAsia="Arial" w:hAnsi="Arial"/>
                <w:sz w:val="18"/>
                <w:szCs w:val="18"/>
                <w:b w:val="1"/>
                <w:bCs w:val="1"/>
                <w:color w:val="auto"/>
              </w:rPr>
              <w:t>593</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402</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235</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1,230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Disposal</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593</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443</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236</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1,272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1,618</w:t>
            </w:r>
          </w:p>
        </w:tc>
        <w:tc>
          <w:tcPr>
            <w:tcW w:w="5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5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5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Disposal</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(27)</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(67)</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June 30, 2023</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1,618</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503</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400</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2,521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1,534</w:t>
            </w: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4"/>
                <w:szCs w:val="24"/>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F-73</w:t>
            </w:r>
          </w:p>
        </w:tc>
        <w:tc>
          <w:tcPr>
            <w:tcW w:w="5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FURNITURE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rPr>
              <w:t>OF</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3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BUILDINGS</w:t>
            </w:r>
          </w:p>
        </w:tc>
        <w:tc>
          <w:tcPr>
            <w:tcW w:w="1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EQUIPMENT</w:t>
            </w:r>
          </w:p>
        </w:tc>
        <w:tc>
          <w:tcPr>
            <w:tcW w:w="142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rPr>
              <w:t>COMPUTER</w:t>
            </w:r>
          </w:p>
        </w:tc>
        <w:tc>
          <w:tcPr>
            <w:tcW w:w="112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6"/>
              </w:rPr>
              <w:t>WHICH</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40" w:type="dxa"/>
            <w:vAlign w:val="bottom"/>
            <w:gridSpan w:val="4"/>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4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EQUIPMENT</w:t>
            </w:r>
          </w:p>
        </w:tc>
        <w:tc>
          <w:tcPr>
            <w:tcW w:w="1120" w:type="dxa"/>
            <w:vAlign w:val="bottom"/>
            <w:gridSpan w:val="4"/>
            <w:vMerge w:val="continue"/>
          </w:tcPr>
          <w:p>
            <w:pPr>
              <w:spacing w:after="0"/>
              <w:rPr>
                <w:sz w:val="14"/>
                <w:szCs w:val="14"/>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4"/>
                <w:szCs w:val="14"/>
                <w:b w:val="1"/>
                <w:bCs w:val="1"/>
                <w:i w:val="1"/>
                <w:iCs w:val="1"/>
                <w:color w:val="auto"/>
                <w:w w:val="96"/>
              </w:rPr>
              <w:t>ROU</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w:t>
            </w: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(445)</w:t>
            </w:r>
          </w:p>
        </w:tc>
        <w:tc>
          <w:tcPr>
            <w:tcW w:w="32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(346)</w:t>
            </w:r>
          </w:p>
        </w:tc>
        <w:tc>
          <w:tcPr>
            <w:tcW w:w="3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(134)</w:t>
            </w:r>
          </w:p>
        </w:tc>
        <w:tc>
          <w:tcPr>
            <w:tcW w:w="3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(925)</w:t>
            </w:r>
          </w:p>
        </w:tc>
        <w:tc>
          <w:tcPr>
            <w:tcW w:w="5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(259)</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(378)</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w:t>
            </w: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(808)</w:t>
            </w: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Increase</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27</w:t>
            </w:r>
          </w:p>
        </w:tc>
        <w:tc>
          <w:tcPr>
            <w:tcW w:w="5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2023</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(1,111)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FURNITURE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rPr>
              <w:t>OF</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BUILDINGS</w:t>
            </w:r>
          </w:p>
        </w:tc>
        <w:tc>
          <w:tcPr>
            <w:tcW w:w="18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COMPUTER</w:t>
            </w:r>
          </w:p>
        </w:tc>
        <w:tc>
          <w:tcPr>
            <w:tcW w:w="120" w:type="dxa"/>
            <w:vAlign w:val="bottom"/>
          </w:tcPr>
          <w:p>
            <w:pPr>
              <w:spacing w:after="0"/>
              <w:rPr>
                <w:sz w:val="12"/>
                <w:szCs w:val="12"/>
                <w:color w:val="auto"/>
              </w:rPr>
            </w:pPr>
          </w:p>
        </w:tc>
        <w:tc>
          <w:tcPr>
            <w:tcW w:w="10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rPr>
              <w:t>WHICH</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EQUIPMENT</w:t>
            </w: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340" w:type="dxa"/>
            <w:vAlign w:val="bottom"/>
            <w:gridSpan w:val="4"/>
          </w:tcPr>
          <w:p>
            <w:pPr>
              <w:jc w:val="right"/>
              <w:ind w:right="320"/>
              <w:spacing w:after="0"/>
              <w:rPr>
                <w:sz w:val="20"/>
                <w:szCs w:val="20"/>
                <w:color w:val="auto"/>
              </w:rPr>
            </w:pPr>
            <w:r>
              <w:rPr>
                <w:rFonts w:ascii="Arial" w:cs="Arial" w:eastAsia="Arial" w:hAnsi="Arial"/>
                <w:sz w:val="18"/>
                <w:szCs w:val="18"/>
                <w:color w:val="auto"/>
              </w:rPr>
              <w:t>148</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56</w:t>
            </w: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rPr>
              <w:t>101</w:t>
            </w: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305</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13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4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1120" w:type="dxa"/>
            <w:vAlign w:val="bottom"/>
            <w:tcBorders>
              <w:right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202</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1340" w:type="dxa"/>
            <w:vAlign w:val="bottom"/>
            <w:gridSpan w:val="4"/>
          </w:tcPr>
          <w:p>
            <w:pPr>
              <w:jc w:val="right"/>
              <w:ind w:right="320"/>
              <w:spacing w:after="0"/>
              <w:rPr>
                <w:sz w:val="20"/>
                <w:szCs w:val="20"/>
                <w:color w:val="auto"/>
              </w:rPr>
            </w:pPr>
            <w:r>
              <w:rPr>
                <w:rFonts w:ascii="Arial" w:cs="Arial" w:eastAsia="Arial" w:hAnsi="Arial"/>
                <w:sz w:val="18"/>
                <w:szCs w:val="18"/>
                <w:color w:val="auto"/>
              </w:rPr>
              <w:t>1,359</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60</w:t>
            </w: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rPr>
              <w:t>173</w:t>
            </w: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1,592</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13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1,086</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14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188</w:t>
            </w:r>
          </w:p>
        </w:tc>
        <w:tc>
          <w:tcPr>
            <w:tcW w:w="1120" w:type="dxa"/>
            <w:vAlign w:val="bottom"/>
            <w:tcBorders>
              <w:right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1,410</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Right of use assets relate to buildings, vehicles, and furniture. The net book value of right of use assets related to buildings amounted to €1,224 thousand and €978 thousand as of December 31, 2022 and June 30, 2023,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Other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assets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8"/>
        </w:trPr>
        <w:tc>
          <w:tcPr>
            <w:tcW w:w="8000" w:type="dxa"/>
            <w:vAlign w:val="bottom"/>
          </w:tcPr>
          <w:p>
            <w:pPr>
              <w:spacing w:after="0"/>
              <w:rPr>
                <w:sz w:val="12"/>
                <w:szCs w:val="12"/>
                <w:color w:val="auto"/>
              </w:rPr>
            </w:pPr>
          </w:p>
        </w:tc>
        <w:tc>
          <w:tcPr>
            <w:tcW w:w="19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ASSETS</w:t>
            </w: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Advances related to CRO contracts</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10,471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Deposits paid under the liquidity agreement</w:t>
            </w: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Deposits paid on Kreos 1 and 2 bond loans</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684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Deposit paid under the Headquarters lease agreement</w:t>
            </w: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11,708</w:t>
            </w:r>
          </w:p>
        </w:tc>
        <w:tc>
          <w:tcPr>
            <w:tcW w:w="8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Advances related to CRO contracts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Long-term advances amounting to €12,187 thousand (undiscounted amount) were made during the year ended December 31, 2022. These advances for clinical studies are to be recovered at the end of the studies after final reconciliation with pass-through costs, which are being invoiced and paid as studies are carried out. These long-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term advances were measured at fair value on initial recognition, using discount rates ranging from 0.19% to 7.16%, and are subsequently measured at amortized cost.</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Over the six-month period ended June 30, 2023, additional advances related to CRO contracts amounting to €1,620 thousand were made (undiscounted amount). These long-term advances were measured at fair value on initial recognition, using discount rates ranging from 7.09% to 7.59%, and are subsequently measured at amortized cost.</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At inception, a prepaid expenses asset was recognized for the difference between the advances’ nominal value and fair value, and spread over the term of the advances, at the rate of recognition of the related R&amp;D expenses (see Note 10).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Other receivables and other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receivables and other assets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5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9"/>
              </w:rPr>
              <w:t>AS OF DECEMBER 31,</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73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(amounts in thousands of euros)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RECEIVABLES AND OTHER ASSETS</w:t>
            </w:r>
          </w:p>
        </w:tc>
        <w:tc>
          <w:tcPr>
            <w:tcW w:w="1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Prepaid expenses—non current</w:t>
            </w:r>
          </w:p>
        </w:tc>
        <w:tc>
          <w:tcPr>
            <w:tcW w:w="2580" w:type="dxa"/>
            <w:vAlign w:val="bottom"/>
            <w:gridSpan w:val="2"/>
          </w:tcPr>
          <w:p>
            <w:pPr>
              <w:jc w:val="right"/>
              <w:ind w:right="1080"/>
              <w:spacing w:after="0"/>
              <w:rPr>
                <w:sz w:val="20"/>
                <w:szCs w:val="20"/>
                <w:color w:val="auto"/>
              </w:rPr>
            </w:pPr>
            <w:r>
              <w:rPr>
                <w:rFonts w:ascii="Arial" w:cs="Arial" w:eastAsia="Arial" w:hAnsi="Arial"/>
                <w:sz w:val="18"/>
                <w:szCs w:val="18"/>
                <w:color w:val="auto"/>
              </w:rPr>
              <w:t>1,037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other receivables and assets</w:t>
            </w:r>
          </w:p>
        </w:tc>
        <w:tc>
          <w:tcPr>
            <w:tcW w:w="25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1,037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934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tax credit (“CIR”)</w:t>
            </w:r>
          </w:p>
        </w:tc>
        <w:tc>
          <w:tcPr>
            <w:tcW w:w="2580" w:type="dxa"/>
            <w:vAlign w:val="bottom"/>
            <w:gridSpan w:val="2"/>
          </w:tcPr>
          <w:p>
            <w:pPr>
              <w:jc w:val="right"/>
              <w:ind w:right="1080"/>
              <w:spacing w:after="0"/>
              <w:rPr>
                <w:sz w:val="20"/>
                <w:szCs w:val="20"/>
                <w:color w:val="auto"/>
              </w:rPr>
            </w:pPr>
            <w:r>
              <w:rPr>
                <w:rFonts w:ascii="Arial" w:cs="Arial" w:eastAsia="Arial" w:hAnsi="Arial"/>
                <w:sz w:val="18"/>
                <w:szCs w:val="18"/>
                <w:color w:val="auto"/>
              </w:rPr>
              <w:t>4,595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6,817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25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3,467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Prepaid expenses</w:t>
            </w:r>
          </w:p>
        </w:tc>
        <w:tc>
          <w:tcPr>
            <w:tcW w:w="2580" w:type="dxa"/>
            <w:vAlign w:val="bottom"/>
            <w:gridSpan w:val="2"/>
          </w:tcPr>
          <w:p>
            <w:pPr>
              <w:jc w:val="right"/>
              <w:ind w:right="1080"/>
              <w:spacing w:after="0"/>
              <w:rPr>
                <w:sz w:val="20"/>
                <w:szCs w:val="20"/>
                <w:color w:val="auto"/>
              </w:rPr>
            </w:pPr>
            <w:r>
              <w:rPr>
                <w:rFonts w:ascii="Arial" w:cs="Arial" w:eastAsia="Arial" w:hAnsi="Arial"/>
                <w:sz w:val="18"/>
                <w:szCs w:val="18"/>
                <w:color w:val="auto"/>
              </w:rPr>
              <w:t>915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Credit notes</w:t>
            </w:r>
          </w:p>
        </w:tc>
        <w:tc>
          <w:tcPr>
            <w:tcW w:w="25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254</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—  </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other receivables and assets</w:t>
            </w:r>
          </w:p>
        </w:tc>
        <w:tc>
          <w:tcPr>
            <w:tcW w:w="258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9,231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15,989</w:t>
            </w:r>
          </w:p>
        </w:tc>
      </w:tr>
      <w:tr>
        <w:trPr>
          <w:trHeight w:val="27"/>
        </w:trPr>
        <w:tc>
          <w:tcPr>
            <w:tcW w:w="73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receivables and other assets</w:t>
            </w:r>
          </w:p>
        </w:tc>
        <w:tc>
          <w:tcPr>
            <w:tcW w:w="25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10,268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16,923</w:t>
            </w:r>
          </w:p>
        </w:tc>
      </w:tr>
      <w:tr>
        <w:trPr>
          <w:trHeight w:val="20"/>
        </w:trPr>
        <w:tc>
          <w:tcPr>
            <w:tcW w:w="7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CIR</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CIR is recognized as Other Operating Income in the year to which the eligible research expense relates. The Group received the payment of the CIR for 2021 tax year in the amount of €4,204 thousand in the second half of 2022 and expects to receive the CIR for 2022 tax year of €4,448 thousand in the second half of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VAT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Value-added tax (“VAT”) receivables relate primarily to the deductible VAT and VAT refunds claimed.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Prepaid expenses</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As of December 31, 2022 and June 30, 2023, current and non-current prepaid expenses include expenses related to CRO contracts for amount of respectively €1,714 thousand and €1,671 thousand (see Note 9).</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June 30, 2023, current prepaid expenses also include costs related to the planned registered public offering in the United States for an amount of €1,707 thousand (see Note 3.3).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8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Bank accounts (cash at hand)</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26,944</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114,376</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Financial assets and liabilities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following table shows the carrying amounts and fair values of financial assets and financial liabilities, including their levels in the fair value hierarchy.</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vMerge w:val="restart"/>
          </w:tcPr>
          <w:p>
            <w:pPr>
              <w:jc w:val="center"/>
              <w:ind w:right="6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3"/>
              </w:rPr>
              <w:t>AS OF DECEMBER 31, 2022</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40" w:type="dxa"/>
            <w:vAlign w:val="bottom"/>
            <w:gridSpan w:val="4"/>
          </w:tcPr>
          <w:p>
            <w:pPr>
              <w:jc w:val="center"/>
              <w:ind w:right="540"/>
              <w:spacing w:after="0" w:line="135" w:lineRule="exact"/>
              <w:rPr>
                <w:sz w:val="20"/>
                <w:szCs w:val="20"/>
                <w:color w:val="auto"/>
              </w:rPr>
            </w:pPr>
            <w:r>
              <w:rPr>
                <w:rFonts w:ascii="Arial" w:cs="Arial" w:eastAsia="Arial" w:hAnsi="Arial"/>
                <w:sz w:val="13"/>
                <w:szCs w:val="13"/>
                <w:b w:val="1"/>
                <w:bCs w:val="1"/>
                <w:color w:val="auto"/>
                <w:w w:val="98"/>
              </w:rPr>
              <w:t>RECOGNIZED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4"/>
          </w:tcPr>
          <w:p>
            <w:pPr>
              <w:jc w:val="center"/>
              <w:ind w:right="600"/>
              <w:spacing w:after="0" w:line="135" w:lineRule="exact"/>
              <w:rPr>
                <w:sz w:val="20"/>
                <w:szCs w:val="20"/>
                <w:color w:val="auto"/>
              </w:rPr>
            </w:pPr>
            <w:r>
              <w:rPr>
                <w:rFonts w:ascii="Arial" w:cs="Arial" w:eastAsia="Arial" w:hAnsi="Arial"/>
                <w:sz w:val="13"/>
                <w:szCs w:val="13"/>
                <w:b w:val="1"/>
                <w:bCs w:val="1"/>
                <w:color w:val="auto"/>
                <w:w w:val="98"/>
              </w:rPr>
              <w:t>ASSETS/ LIABILITIES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40" w:type="dxa"/>
            <w:vAlign w:val="bottom"/>
            <w:gridSpan w:val="4"/>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THE STATEMENT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tcPr>
          <w:p>
            <w:pPr>
              <w:jc w:val="center"/>
              <w:ind w:right="700"/>
              <w:spacing w:after="0" w:line="135" w:lineRule="exact"/>
              <w:rPr>
                <w:sz w:val="20"/>
                <w:szCs w:val="20"/>
                <w:color w:val="auto"/>
              </w:rPr>
            </w:pPr>
            <w:r>
              <w:rPr>
                <w:rFonts w:ascii="Arial" w:cs="Arial" w:eastAsia="Arial" w:hAnsi="Arial"/>
                <w:sz w:val="13"/>
                <w:szCs w:val="13"/>
                <w:b w:val="1"/>
                <w:bCs w:val="1"/>
                <w:color w:val="auto"/>
                <w:w w:val="96"/>
              </w:rPr>
              <w:t>AT FAIR VALUE</w:t>
            </w:r>
          </w:p>
        </w:tc>
        <w:tc>
          <w:tcPr>
            <w:tcW w:w="13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0"/>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40" w:type="dxa"/>
            <w:vAlign w:val="bottom"/>
            <w:gridSpan w:val="4"/>
          </w:tcPr>
          <w:p>
            <w:pPr>
              <w:jc w:val="center"/>
              <w:ind w:right="560"/>
              <w:spacing w:after="0" w:line="135" w:lineRule="exact"/>
              <w:rPr>
                <w:sz w:val="20"/>
                <w:szCs w:val="20"/>
                <w:color w:val="auto"/>
              </w:rPr>
            </w:pPr>
            <w:r>
              <w:rPr>
                <w:rFonts w:ascii="Arial" w:cs="Arial" w:eastAsia="Arial" w:hAnsi="Arial"/>
                <w:sz w:val="13"/>
                <w:szCs w:val="13"/>
                <w:b w:val="1"/>
                <w:bCs w:val="1"/>
                <w:color w:val="auto"/>
              </w:rPr>
              <w:t>OF FINANCIAL</w:t>
            </w:r>
          </w:p>
        </w:tc>
        <w:tc>
          <w:tcPr>
            <w:tcW w:w="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1"/>
                <w:szCs w:val="11"/>
                <w:color w:val="auto"/>
              </w:rPr>
            </w:pPr>
          </w:p>
        </w:tc>
        <w:tc>
          <w:tcPr>
            <w:tcW w:w="1920" w:type="dxa"/>
            <w:vAlign w:val="bottom"/>
            <w:gridSpan w:val="4"/>
          </w:tcPr>
          <w:p>
            <w:pPr>
              <w:jc w:val="center"/>
              <w:ind w:right="600"/>
              <w:spacing w:after="0" w:line="135" w:lineRule="exact"/>
              <w:rPr>
                <w:sz w:val="20"/>
                <w:szCs w:val="20"/>
                <w:color w:val="auto"/>
              </w:rPr>
            </w:pPr>
            <w:r>
              <w:rPr>
                <w:rFonts w:ascii="Arial" w:cs="Arial" w:eastAsia="Arial" w:hAnsi="Arial"/>
                <w:sz w:val="13"/>
                <w:szCs w:val="13"/>
                <w:b w:val="1"/>
                <w:bCs w:val="1"/>
                <w:color w:val="auto"/>
                <w:w w:val="99"/>
              </w:rPr>
              <w:t>THROUGH PROFIT</w:t>
            </w:r>
          </w:p>
        </w:tc>
        <w:tc>
          <w:tcPr>
            <w:tcW w:w="1300" w:type="dxa"/>
            <w:vAlign w:val="bottom"/>
            <w:gridSpan w:val="3"/>
          </w:tcPr>
          <w:p>
            <w:pPr>
              <w:jc w:val="center"/>
              <w:ind w:right="560"/>
              <w:spacing w:after="0" w:line="135" w:lineRule="exact"/>
              <w:rPr>
                <w:sz w:val="20"/>
                <w:szCs w:val="20"/>
                <w:color w:val="auto"/>
              </w:rPr>
            </w:pPr>
            <w:r>
              <w:rPr>
                <w:rFonts w:ascii="Arial" w:cs="Arial" w:eastAsia="Arial" w:hAnsi="Arial"/>
                <w:sz w:val="13"/>
                <w:szCs w:val="13"/>
                <w:b w:val="1"/>
                <w:bCs w:val="1"/>
                <w:color w:val="auto"/>
                <w:w w:val="95"/>
              </w:rPr>
              <w:t>AMORTIZED</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w w:val="99"/>
              </w:rPr>
              <w:t>AT AMORTIZED</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i w:val="1"/>
                <w:iCs w:val="1"/>
                <w:color w:val="auto"/>
              </w:rPr>
              <w:t>(amounts in thousands of euros)</w:t>
            </w:r>
          </w:p>
        </w:tc>
        <w:tc>
          <w:tcPr>
            <w:tcW w:w="140" w:type="dxa"/>
            <w:vAlign w:val="bottom"/>
          </w:tcPr>
          <w:p>
            <w:pPr>
              <w:spacing w:after="0"/>
              <w:rPr>
                <w:sz w:val="13"/>
                <w:szCs w:val="13"/>
                <w:color w:val="auto"/>
              </w:rPr>
            </w:pPr>
          </w:p>
        </w:tc>
        <w:tc>
          <w:tcPr>
            <w:tcW w:w="150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99"/>
              </w:rPr>
              <w:t>POSITION</w:t>
            </w: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5"/>
              </w:rPr>
              <w:t>AND LOSS</w:t>
            </w:r>
          </w:p>
        </w:tc>
        <w:tc>
          <w:tcPr>
            <w:tcW w:w="130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4"/>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11,708</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11,271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w w:val="71"/>
              </w:rPr>
              <w:t>—   </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11,271</w:t>
            </w: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4"/>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9,231</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9,231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9,231</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26,950</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3"/>
              </w:rPr>
              <w:t>26,950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tcBorders>
              <w:right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26,950</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47,889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47,452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b w:val="1"/>
                <w:bCs w:val="1"/>
                <w:color w:val="auto"/>
                <w:w w:val="77"/>
              </w:rPr>
              <w:t>— 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47,452</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b w:val="1"/>
                <w:bCs w:val="1"/>
                <w:color w:val="auto"/>
                <w:w w:val="84"/>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liabilities—non-current portion (4, Note 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35,573</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3"/>
              </w:rPr>
              <w:t>28,771</w:t>
            </w:r>
          </w:p>
        </w:tc>
        <w:tc>
          <w:tcPr>
            <w:tcW w:w="1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1300"/>
              <w:spacing w:after="0"/>
              <w:rPr>
                <w:sz w:val="20"/>
                <w:szCs w:val="20"/>
                <w:color w:val="auto"/>
              </w:rPr>
            </w:pPr>
            <w:r>
              <w:rPr>
                <w:rFonts w:ascii="Arial" w:cs="Arial" w:eastAsia="Arial" w:hAnsi="Arial"/>
                <w:sz w:val="16"/>
                <w:szCs w:val="16"/>
                <w:color w:val="auto"/>
                <w:w w:val="82"/>
              </w:rPr>
              <w:t>566</w:t>
            </w:r>
          </w:p>
        </w:tc>
        <w:tc>
          <w:tcPr>
            <w:tcW w:w="1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rPr>
                <w:sz w:val="20"/>
                <w:szCs w:val="20"/>
                <w:color w:val="auto"/>
              </w:rPr>
            </w:pPr>
            <w:r>
              <w:rPr>
                <w:rFonts w:ascii="Arial" w:cs="Arial" w:eastAsia="Arial" w:hAnsi="Arial"/>
                <w:sz w:val="16"/>
                <w:szCs w:val="16"/>
                <w:color w:val="auto"/>
              </w:rPr>
              <w:t>Financial liabilities—current portion (3, Note 15)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14,224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w w:val="93"/>
              </w:rPr>
              <w:t>14,224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30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14,224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15,475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3"/>
              </w:rPr>
              <w:t>15,475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tcBorders>
              <w:right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Total financial liabilities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80" w:type="dxa"/>
            <w:vAlign w:val="bottom"/>
            <w:vMerge w:val="continue"/>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65,272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58,469</w:t>
            </w: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80"/>
              <w:spacing w:after="0"/>
              <w:rPr>
                <w:sz w:val="20"/>
                <w:szCs w:val="20"/>
                <w:color w:val="auto"/>
              </w:rPr>
            </w:pPr>
            <w:r>
              <w:rPr>
                <w:rFonts w:ascii="Arial" w:cs="Arial" w:eastAsia="Arial" w:hAnsi="Arial"/>
                <w:sz w:val="16"/>
                <w:szCs w:val="16"/>
                <w:color w:val="auto"/>
                <w:w w:val="82"/>
              </w:rPr>
              <w:t>566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vMerge w:val="restart"/>
          </w:tcPr>
          <w:p>
            <w:pPr>
              <w:jc w:val="center"/>
              <w:ind w:right="420"/>
              <w:spacing w:after="0"/>
              <w:rPr>
                <w:sz w:val="20"/>
                <w:szCs w:val="20"/>
                <w:color w:val="auto"/>
              </w:rPr>
            </w:pPr>
            <w:r>
              <w:rPr>
                <w:rFonts w:ascii="Arial" w:cs="Arial" w:eastAsia="Arial" w:hAnsi="Arial"/>
                <w:sz w:val="13"/>
                <w:szCs w:val="13"/>
                <w:b w:val="1"/>
                <w:bCs w:val="1"/>
                <w:color w:val="auto"/>
                <w:w w:val="98"/>
              </w:rPr>
              <w:t>AMOUNT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w w:val="99"/>
              </w:rPr>
              <w:t>AS OF JUNE 30, 2023</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rPr>
              <w:t>RECOGNIZED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97"/>
              </w:rPr>
              <w:t>ASSETS/ LIABILITIES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8"/>
              </w:rPr>
              <w:t>THE STATEMENT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130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90"/>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rPr>
              <w:t>OF FINANCIAL</w:t>
            </w:r>
          </w:p>
        </w:tc>
        <w:tc>
          <w:tcPr>
            <w:tcW w:w="80" w:type="dxa"/>
            <w:vAlign w:val="bottom"/>
          </w:tcPr>
          <w:p>
            <w:pPr>
              <w:spacing w:after="0"/>
              <w:rPr>
                <w:sz w:val="11"/>
                <w:szCs w:val="11"/>
                <w:color w:val="auto"/>
              </w:rPr>
            </w:pPr>
          </w:p>
        </w:tc>
        <w:tc>
          <w:tcPr>
            <w:tcW w:w="740" w:type="dxa"/>
            <w:vAlign w:val="bottom"/>
            <w:gridSpan w:val="3"/>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rPr>
              <w:t>THROUGH PROFIT</w:t>
            </w:r>
          </w:p>
        </w:tc>
        <w:tc>
          <w:tcPr>
            <w:tcW w:w="130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w w:val="99"/>
              </w:rPr>
              <w:t>AT AMORTIZED</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i w:val="1"/>
                <w:iCs w:val="1"/>
                <w:color w:val="auto"/>
              </w:rPr>
              <w:t>(amounts in thousands of euros)</w:t>
            </w:r>
          </w:p>
        </w:tc>
        <w:tc>
          <w:tcPr>
            <w:tcW w:w="140" w:type="dxa"/>
            <w:vAlign w:val="bottom"/>
          </w:tcPr>
          <w:p>
            <w:pPr>
              <w:spacing w:after="0"/>
              <w:rPr>
                <w:sz w:val="13"/>
                <w:szCs w:val="13"/>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6"/>
              </w:rPr>
              <w:t>POSITION</w:t>
            </w:r>
          </w:p>
        </w:tc>
        <w:tc>
          <w:tcPr>
            <w:tcW w:w="8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2"/>
              </w:rPr>
              <w:t>AND LOSS</w:t>
            </w:r>
          </w:p>
        </w:tc>
        <w:tc>
          <w:tcPr>
            <w:tcW w:w="13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4"/>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13,343</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color w:val="auto"/>
                <w:w w:val="85"/>
              </w:rPr>
              <w:t>13,173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4"/>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15,989</w:t>
            </w:r>
          </w:p>
        </w:tc>
        <w:tc>
          <w:tcPr>
            <w:tcW w:w="420" w:type="dxa"/>
            <w:vAlign w:val="bottom"/>
          </w:tcPr>
          <w:p>
            <w:pPr>
              <w:spacing w:after="0"/>
              <w:rPr>
                <w:sz w:val="17"/>
                <w:szCs w:val="17"/>
                <w:color w:val="auto"/>
              </w:rPr>
            </w:pPr>
          </w:p>
        </w:tc>
        <w:tc>
          <w:tcPr>
            <w:tcW w:w="820" w:type="dxa"/>
            <w:vAlign w:val="bottom"/>
            <w:gridSpan w:val="4"/>
          </w:tcPr>
          <w:p>
            <w:pPr>
              <w:ind w:left="200"/>
              <w:spacing w:after="0"/>
              <w:rPr>
                <w:sz w:val="20"/>
                <w:szCs w:val="20"/>
                <w:color w:val="auto"/>
              </w:rPr>
            </w:pPr>
            <w:r>
              <w:rPr>
                <w:rFonts w:ascii="Arial" w:cs="Arial" w:eastAsia="Arial" w:hAnsi="Arial"/>
                <w:sz w:val="16"/>
                <w:szCs w:val="16"/>
                <w:color w:val="auto"/>
              </w:rPr>
              <w:t>15,989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15,989</w:t>
            </w:r>
          </w:p>
        </w:tc>
        <w:tc>
          <w:tcPr>
            <w:tcW w:w="5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640" w:type="dxa"/>
            <w:vAlign w:val="bottom"/>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114,381</w:t>
            </w:r>
          </w:p>
        </w:tc>
        <w:tc>
          <w:tcPr>
            <w:tcW w:w="82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114,381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tcBorders>
              <w:right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114,381</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98"/>
              </w:rPr>
              <w:t>—  </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40" w:type="dxa"/>
            <w:vAlign w:val="bottom"/>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143,713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6"/>
              </w:rPr>
              <w:t>143,543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gridSpan w:val="2"/>
          </w:tcPr>
          <w:p>
            <w:pPr>
              <w:ind w:left="1080"/>
              <w:spacing w:after="0"/>
              <w:rPr>
                <w:sz w:val="20"/>
                <w:szCs w:val="20"/>
                <w:color w:val="auto"/>
              </w:rPr>
            </w:pPr>
            <w:r>
              <w:rPr>
                <w:rFonts w:ascii="Arial" w:cs="Arial" w:eastAsia="Arial" w:hAnsi="Arial"/>
                <w:sz w:val="16"/>
                <w:szCs w:val="16"/>
                <w:b w:val="1"/>
                <w:bCs w:val="1"/>
                <w:color w:val="auto"/>
                <w:w w:val="84"/>
              </w:rPr>
              <w:t>—  </w:t>
            </w:r>
          </w:p>
        </w:tc>
        <w:tc>
          <w:tcPr>
            <w:tcW w:w="48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143,543</w:t>
            </w:r>
          </w:p>
        </w:tc>
        <w:tc>
          <w:tcPr>
            <w:tcW w:w="500" w:type="dxa"/>
            <w:vAlign w:val="bottom"/>
          </w:tcPr>
          <w:p>
            <w:pPr>
              <w:spacing w:after="0"/>
              <w:rPr>
                <w:sz w:val="17"/>
                <w:szCs w:val="17"/>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b w:val="1"/>
                <w:bCs w:val="1"/>
                <w:color w:val="auto"/>
                <w:w w:val="84"/>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liabilities—non-current portion (4, Note 15)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43,747</w:t>
            </w:r>
          </w:p>
        </w:tc>
        <w:tc>
          <w:tcPr>
            <w:tcW w:w="4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37,881</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480" w:type="dxa"/>
            <w:vAlign w:val="bottom"/>
            <w:tcBorders>
              <w:right w:val="single" w:sz="8" w:color="CCEEFF"/>
            </w:tcBorders>
            <w:shd w:val="clear" w:color="auto" w:fill="CCEEFF"/>
          </w:tcPr>
          <w:p>
            <w:pPr>
              <w:spacing w:after="0"/>
              <w:rPr>
                <w:sz w:val="17"/>
                <w:szCs w:val="17"/>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Financial liabilities—current portion (3, Note 15)</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12,667</w:t>
            </w:r>
          </w:p>
        </w:tc>
        <w:tc>
          <w:tcPr>
            <w:tcW w:w="420" w:type="dxa"/>
            <w:vAlign w:val="bottom"/>
          </w:tcPr>
          <w:p>
            <w:pPr>
              <w:spacing w:after="0"/>
              <w:rPr>
                <w:sz w:val="17"/>
                <w:szCs w:val="17"/>
                <w:color w:val="auto"/>
              </w:rPr>
            </w:pPr>
          </w:p>
        </w:tc>
        <w:tc>
          <w:tcPr>
            <w:tcW w:w="820" w:type="dxa"/>
            <w:vAlign w:val="bottom"/>
            <w:gridSpan w:val="4"/>
          </w:tcPr>
          <w:p>
            <w:pPr>
              <w:ind w:left="200"/>
              <w:spacing w:after="0"/>
              <w:rPr>
                <w:sz w:val="20"/>
                <w:szCs w:val="20"/>
                <w:color w:val="auto"/>
              </w:rPr>
            </w:pPr>
            <w:r>
              <w:rPr>
                <w:rFonts w:ascii="Arial" w:cs="Arial" w:eastAsia="Arial" w:hAnsi="Arial"/>
                <w:sz w:val="16"/>
                <w:szCs w:val="16"/>
                <w:color w:val="auto"/>
              </w:rPr>
              <w:t>12,667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12,667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29,443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29,443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tcBorders>
              <w:right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Total financial liabilities</w:t>
            </w:r>
          </w:p>
        </w:tc>
        <w:tc>
          <w:tcPr>
            <w:tcW w:w="140" w:type="dxa"/>
            <w:vAlign w:val="bottom"/>
            <w:vMerge w:val="restart"/>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85,858</w:t>
            </w:r>
          </w:p>
        </w:tc>
        <w:tc>
          <w:tcPr>
            <w:tcW w:w="4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b w:val="1"/>
                <w:bCs w:val="1"/>
                <w:color w:val="auto"/>
                <w:w w:val="85"/>
              </w:rPr>
              <w:t>79,991</w:t>
            </w:r>
          </w:p>
        </w:tc>
        <w:tc>
          <w:tcPr>
            <w:tcW w:w="180" w:type="dxa"/>
            <w:vAlign w:val="bottom"/>
            <w:vMerge w:val="continue"/>
          </w:tcPr>
          <w:p>
            <w:pPr>
              <w:spacing w:after="0"/>
              <w:rPr>
                <w:sz w:val="17"/>
                <w:szCs w:val="17"/>
                <w:color w:val="auto"/>
              </w:rPr>
            </w:pPr>
          </w:p>
        </w:tc>
        <w:tc>
          <w:tcPr>
            <w:tcW w:w="320" w:type="dxa"/>
            <w:vAlign w:val="bottom"/>
            <w:gridSpan w:val="2"/>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4,328</w:t>
            </w:r>
          </w:p>
        </w:tc>
        <w:tc>
          <w:tcPr>
            <w:tcW w:w="480" w:type="dxa"/>
            <w:vAlign w:val="bottom"/>
          </w:tcPr>
          <w:p>
            <w:pPr>
              <w:spacing w:after="0"/>
              <w:rPr>
                <w:sz w:val="17"/>
                <w:szCs w:val="17"/>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75,663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 and employee-related payables are non-financial liabilities and are therefore excluded from the tables above. They are presented in Note 17.2.</w:t>
      </w:r>
    </w:p>
    <w:p>
      <w:pPr>
        <w:spacing w:after="0" w:line="154" w:lineRule="exact"/>
        <w:rPr>
          <w:sz w:val="20"/>
          <w:szCs w:val="20"/>
          <w:color w:val="auto"/>
        </w:rPr>
      </w:pPr>
    </w:p>
    <w:p>
      <w:pPr>
        <w:ind w:left="540" w:right="260" w:hanging="424"/>
        <w:spacing w:after="0" w:line="27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fair value of cash and cash equivalents is determined based on Level 1 fair value measurements and corresponds to the market value of the assets.</w:t>
      </w:r>
    </w:p>
    <w:p>
      <w:pPr>
        <w:spacing w:after="0" w:line="75" w:lineRule="exact"/>
        <w:rPr>
          <w:rFonts w:ascii="Arial" w:cs="Arial" w:eastAsia="Arial" w:hAnsi="Arial"/>
          <w:sz w:val="18"/>
          <w:szCs w:val="18"/>
          <w:color w:val="auto"/>
        </w:rPr>
      </w:pPr>
    </w:p>
    <w:p>
      <w:pPr>
        <w:ind w:left="540" w:right="60" w:hanging="424"/>
        <w:spacing w:after="0" w:line="25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carrying amount of financial assets measured at amortized cost is deemed to be a reasonable estimation of fair value, except for the long-term advances made to CROs, whose fair value is determined based on Level 3 fair value measurement and is estimated based on future cash-flows discounted at market rates, using credit spreads ranging from 16 bp to 476 bp as of December 31, 2022 and 19 bp to 346 bp as of June 30, 2023. As of December 31, 2022 and June 30, 2023, an increase in the credit spread by +100 bp would result in a decrease in the advances fair value by respectively €240 thousand and €234 thousand.</w:t>
      </w:r>
    </w:p>
    <w:p>
      <w:pPr>
        <w:spacing w:after="0" w:line="93" w:lineRule="exact"/>
        <w:rPr>
          <w:rFonts w:ascii="Arial" w:cs="Arial" w:eastAsia="Arial" w:hAnsi="Arial"/>
          <w:sz w:val="18"/>
          <w:szCs w:val="18"/>
          <w:color w:val="auto"/>
        </w:rPr>
      </w:pPr>
    </w:p>
    <w:p>
      <w:pPr>
        <w:ind w:left="540" w:hanging="424"/>
        <w:spacing w:after="0"/>
        <w:tabs>
          <w:tab w:leader="none" w:pos="5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carrying amount of short-term financial liabilities measured at amortized cost is deemed to be a reasonable estimation of fair value.</w:t>
      </w:r>
    </w:p>
    <w:p>
      <w:pPr>
        <w:spacing w:after="0" w:line="142" w:lineRule="exact"/>
        <w:rPr>
          <w:rFonts w:ascii="Arial" w:cs="Arial" w:eastAsia="Arial" w:hAnsi="Arial"/>
          <w:sz w:val="17"/>
          <w:szCs w:val="17"/>
          <w:color w:val="auto"/>
        </w:rPr>
      </w:pPr>
    </w:p>
    <w:p>
      <w:pPr>
        <w:ind w:left="540" w:right="240" w:hanging="424"/>
        <w:spacing w:after="0" w:line="311" w:lineRule="auto"/>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fair values of Kreos BSA A&amp;B, OCEANE conversion option and royalty certificates are based on Level 3 fair value measurements and are estimated based on models and assumptions detailed in note 15. The fair value of other long-term financial liabilities is determined based on Level 3 fair value measurements and is estimated based on future cash-flows discounted at market rates, using the following assumptions: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For the debt components of Kreos 1 &amp; 2 bonds, a credit spread of 1,475 bp as of December 31, 2022 and 1,376 bp as of June 30, 2023.</w:t>
      </w:r>
    </w:p>
    <w:p>
      <w:pPr>
        <w:spacing w:after="0" w:line="140" w:lineRule="exact"/>
        <w:rPr>
          <w:rFonts w:ascii="Arial" w:cs="Arial" w:eastAsia="Arial" w:hAnsi="Arial"/>
          <w:sz w:val="16"/>
          <w:szCs w:val="16"/>
          <w:color w:val="auto"/>
        </w:rPr>
      </w:pPr>
    </w:p>
    <w:p>
      <w:pPr>
        <w:ind w:left="1100" w:right="340"/>
        <w:spacing w:after="0" w:line="277" w:lineRule="auto"/>
        <w:rPr>
          <w:rFonts w:ascii="Arial" w:cs="Arial" w:eastAsia="Arial" w:hAnsi="Arial"/>
          <w:sz w:val="16"/>
          <w:szCs w:val="16"/>
          <w:color w:val="auto"/>
        </w:rPr>
      </w:pPr>
      <w:r>
        <w:rPr>
          <w:rFonts w:ascii="Arial" w:cs="Arial" w:eastAsia="Arial" w:hAnsi="Arial"/>
          <w:sz w:val="18"/>
          <w:szCs w:val="18"/>
          <w:color w:val="auto"/>
        </w:rPr>
        <w:t>As of December 31, 2022 and June 30, 2023, an increase in the credit spread by +100 bp would result in a decrease in the Kreos 1 &amp; 2 bonds fair value by €68 thousand and €34 thousand, respectively.</w:t>
      </w:r>
    </w:p>
    <w:p>
      <w:pPr>
        <w:spacing w:after="0" w:line="75" w:lineRule="exact"/>
        <w:rPr>
          <w:rFonts w:ascii="Arial" w:cs="Arial" w:eastAsia="Arial" w:hAnsi="Arial"/>
          <w:sz w:val="16"/>
          <w:szCs w:val="16"/>
          <w:color w:val="auto"/>
        </w:rPr>
      </w:pPr>
    </w:p>
    <w:p>
      <w:pPr>
        <w:ind w:left="1080" w:hanging="424"/>
        <w:spacing w:after="0"/>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For the debt component of OCEANE bonds, a credit spread similar to that detailed in Note 15.</w:t>
      </w:r>
    </w:p>
    <w:p>
      <w:pPr>
        <w:spacing w:after="0" w:line="117" w:lineRule="exact"/>
        <w:rPr>
          <w:rFonts w:ascii="Arial" w:cs="Arial" w:eastAsia="Arial" w:hAnsi="Arial"/>
          <w:sz w:val="18"/>
          <w:szCs w:val="18"/>
          <w:color w:val="auto"/>
        </w:rPr>
      </w:pPr>
    </w:p>
    <w:p>
      <w:pPr>
        <w:ind w:left="1100" w:right="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2022, and June 30, 2023, an increase in the credit spread by +100 bp would result in a decrease in the OCEANE debt component fair value by €476 thousand and €447 thousand, respectively.</w:t>
      </w:r>
    </w:p>
    <w:p>
      <w:pPr>
        <w:spacing w:after="0" w:line="75" w:lineRule="exact"/>
        <w:rPr>
          <w:rFonts w:ascii="Arial" w:cs="Arial" w:eastAsia="Arial" w:hAnsi="Arial"/>
          <w:sz w:val="18"/>
          <w:szCs w:val="18"/>
          <w:color w:val="auto"/>
        </w:rPr>
      </w:pPr>
    </w:p>
    <w:p>
      <w:pPr>
        <w:ind w:left="1100" w:right="320" w:hanging="444"/>
        <w:spacing w:after="0" w:line="383" w:lineRule="auto"/>
        <w:tabs>
          <w:tab w:leader="none" w:pos="108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For the conditional advances and the PGE loan, a credit spread of 1,475 bp as of December 31, 2022 and 1,376 bp as of June 30, 2023. An increase in the credit spread by +100 bp would result in the following:</w:t>
      </w:r>
    </w:p>
    <w:p>
      <w:pPr>
        <w:ind w:left="1540" w:hanging="331"/>
        <w:spacing w:after="0"/>
        <w:tabs>
          <w:tab w:leader="none" w:pos="1540" w:val="left"/>
        </w:tabs>
        <w:numPr>
          <w:ilvl w:val="2"/>
          <w:numId w:val="229"/>
        </w:numPr>
        <w:rPr>
          <w:rFonts w:ascii="Arial" w:cs="Arial" w:eastAsia="Arial" w:hAnsi="Arial"/>
          <w:sz w:val="16"/>
          <w:szCs w:val="16"/>
          <w:color w:val="auto"/>
        </w:rPr>
      </w:pPr>
      <w:r>
        <w:rPr>
          <w:rFonts w:ascii="Arial" w:cs="Arial" w:eastAsia="Arial" w:hAnsi="Arial"/>
          <w:sz w:val="16"/>
          <w:szCs w:val="16"/>
          <w:color w:val="auto"/>
        </w:rPr>
        <w:t>As of December 31, 2022 and June 30, 2023, a decrease in the PGE loan fair value by €55 thousand and €44 thousand, respectively.</w:t>
      </w:r>
    </w:p>
    <w:p>
      <w:pPr>
        <w:spacing w:after="0" w:line="153" w:lineRule="exact"/>
        <w:rPr>
          <w:rFonts w:ascii="Arial" w:cs="Arial" w:eastAsia="Arial" w:hAnsi="Arial"/>
          <w:sz w:val="16"/>
          <w:szCs w:val="16"/>
          <w:color w:val="auto"/>
        </w:rPr>
      </w:pPr>
    </w:p>
    <w:p>
      <w:pPr>
        <w:ind w:left="1540" w:right="580" w:hanging="331"/>
        <w:spacing w:after="0" w:line="277" w:lineRule="auto"/>
        <w:tabs>
          <w:tab w:leader="none" w:pos="154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As of December 31, 2022 and June 30, 2023, a decrease in the RNP-VIR conditional advance fair value by €31 thousand and €23 thousand, respectively.</w:t>
      </w:r>
    </w:p>
    <w:p>
      <w:pPr>
        <w:spacing w:after="0" w:line="75" w:lineRule="exact"/>
        <w:rPr>
          <w:rFonts w:ascii="Arial" w:cs="Arial" w:eastAsia="Arial" w:hAnsi="Arial"/>
          <w:sz w:val="18"/>
          <w:szCs w:val="18"/>
          <w:color w:val="auto"/>
        </w:rPr>
      </w:pPr>
    </w:p>
    <w:p>
      <w:pPr>
        <w:ind w:left="1540" w:right="560" w:hanging="331"/>
        <w:spacing w:after="0" w:line="277" w:lineRule="auto"/>
        <w:tabs>
          <w:tab w:leader="none" w:pos="154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As of December 31, 2022 and June 30, 2023, a decrease in the CARENA conditional advance fair value by €37 thousand and €35 thousand respectively.</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As of December 31, 2022 and June 30, 2023, a decrease in the Ebola conditional advance fair value by €1 thousand and €1 thousand, respectively.</w:t>
      </w:r>
    </w:p>
    <w:p>
      <w:pPr>
        <w:spacing w:after="0" w:line="170"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As of June 30, 2023, the difference between the fair value of the non-current portion of financial liabilities and their carrying amount is mainly explained by the increase in market rates between their issuance dates and June 30,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13.1. Share capital issued</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 manages its capital to ensure that the Group will be able to continue as a going concern while maximizing the return to shareholders through the optimization of the debt and equity balance.</w:t>
      </w:r>
    </w:p>
    <w:p>
      <w:pPr>
        <w:spacing w:after="0" w:line="170"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As of December 31, 2022, the Group’s share capital amounted to €223 thousand divided into 22,313,185 ordinary shares issued with a par value of €0.01 each, fully paid up, after taking into account the various capital increases that took place since the inception (see Note 13.2).</w:t>
      </w:r>
    </w:p>
    <w:p>
      <w:pPr>
        <w:spacing w:after="0" w:line="14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of June 30, 2023, the Group’s share capital amounted to €425 thousand divided into 42,547,568 ordinary shares issued with a par value of €0.01 each, fully paid up.</w:t>
      </w:r>
    </w:p>
    <w:p>
      <w:pPr>
        <w:spacing w:after="0" w:line="170"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Share capital does not include founders’ share warrants (“bons de souscription de parts de créateur d’entreprise” or “BCE”), share warrants (“Bons de souscription d’actions,” or “BSA”) and free shares (“Attributions gratuites d’actions” or “AGA”) that have been granted to certain investors or natural persons, both employees and non-employees of the Group, but not yet exercised.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Treasury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held 12,000 and 11,487 of its own shares as of December 31, 2022 and June 30, 2023, respectively.</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number of outstanding ordinary shares (excluding treasury shares held by the Group) was 22,301,185 and 42,536,081 as of December 31, 2022 and June 30, 2023,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13.2. Change in share capital</w:t>
      </w:r>
    </w:p>
    <w:p>
      <w:pPr>
        <w:spacing w:after="0" w:line="117"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increase in the share capital for the period ended June 30, 2022 relates to the exercise of 19,134 share warrants, resulting in a capital increase of €0 thousand by issuing 19,134 ordinary shares with a par value of €0.01 per share and an average subscription price of €0.14 per share.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the share capital for the period ended June 30, 2023 relates to:</w:t>
      </w:r>
    </w:p>
    <w:p>
      <w:pPr>
        <w:spacing w:after="0" w:line="131" w:lineRule="exact"/>
        <w:rPr>
          <w:sz w:val="20"/>
          <w:szCs w:val="20"/>
          <w:color w:val="auto"/>
        </w:rPr>
      </w:pPr>
    </w:p>
    <w:p>
      <w:pPr>
        <w:ind w:left="1080" w:right="32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completion of a capital increase of €130,000 thousand on February 22, 2023 by issuing 20,000,000 new ordinary shares with a par value of €0.01 per share and a subscription price of €6.50 per share;</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cash-less exercise of 67,887 Kreos A BSA and 31,696 Kreos B BSA, resulting in a capital increase of €1,850 thousand by issuing 99,583 ordinary shares with a par value of €0.01 per share and an average subscription price of €18.57 per share, which includes the impact of the derecognition of the BSA derivative financial liability; and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exercise of 1,348 other share warrants, by issuing 134,800 ordinary shares with a par value of €0.01 per share and an average subscription price of €0.01 per share (see Note 14).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did not distribute any dividends for any of the periods presented.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60"/>
          </w:cols>
          <w:pgMar w:left="320" w:top="459" w:right="51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Share-based payments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granted BCEs, BSAs and AGAs.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the data relating to BCEs: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MAXIMUM</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NUMBER OF</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4"/>
              </w:rPr>
              <w:t>SHARES TO</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5"/>
              </w:rPr>
              <w:t>BE ISSUED</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rPr>
              <w:t>BCE</w:t>
            </w:r>
          </w:p>
        </w:tc>
        <w:tc>
          <w:tcPr>
            <w:tcW w:w="980" w:type="dxa"/>
            <w:vAlign w:val="bottom"/>
            <w:gridSpan w:val="6"/>
          </w:tcPr>
          <w:p>
            <w:pPr>
              <w:jc w:val="center"/>
              <w:ind w:right="300"/>
              <w:spacing w:after="0" w:line="135" w:lineRule="exact"/>
              <w:rPr>
                <w:sz w:val="20"/>
                <w:szCs w:val="20"/>
                <w:color w:val="auto"/>
              </w:rPr>
            </w:pPr>
            <w:r>
              <w:rPr>
                <w:rFonts w:ascii="Arial" w:cs="Arial" w:eastAsia="Arial" w:hAnsi="Arial"/>
                <w:sz w:val="12"/>
                <w:szCs w:val="12"/>
                <w:b w:val="1"/>
                <w:bCs w:val="1"/>
                <w:color w:val="auto"/>
                <w:w w:val="98"/>
              </w:rPr>
              <w:t>NUMBER</w:t>
            </w:r>
          </w:p>
        </w:tc>
        <w:tc>
          <w:tcPr>
            <w:tcW w:w="1040" w:type="dxa"/>
            <w:vAlign w:val="bottom"/>
            <w:gridSpan w:val="4"/>
          </w:tcPr>
          <w:p>
            <w:pPr>
              <w:jc w:val="center"/>
              <w:ind w:right="300"/>
              <w:spacing w:after="0" w:line="135" w:lineRule="exact"/>
              <w:rPr>
                <w:sz w:val="20"/>
                <w:szCs w:val="20"/>
                <w:color w:val="auto"/>
              </w:rPr>
            </w:pPr>
            <w:r>
              <w:rPr>
                <w:rFonts w:ascii="Arial" w:cs="Arial" w:eastAsia="Arial" w:hAnsi="Arial"/>
                <w:sz w:val="12"/>
                <w:szCs w:val="12"/>
                <w:b w:val="1"/>
                <w:bCs w:val="1"/>
                <w:color w:val="auto"/>
                <w:w w:val="96"/>
              </w:rPr>
              <w:t>NUMBER OF</w:t>
            </w: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9"/>
              </w:rPr>
              <w:t>NUMBER OF</w:t>
            </w:r>
          </w:p>
        </w:tc>
        <w:tc>
          <w:tcPr>
            <w:tcW w:w="20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6"/>
              </w:rPr>
              <w:t>NUMBER OF</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rPr>
              <w:t>IF ALL</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OUTSTANDING</w:t>
            </w:r>
          </w:p>
        </w:tc>
        <w:tc>
          <w:tcPr>
            <w:tcW w:w="980" w:type="dxa"/>
            <w:vAlign w:val="bottom"/>
            <w:gridSpan w:val="6"/>
          </w:tcPr>
          <w:p>
            <w:pPr>
              <w:jc w:val="center"/>
              <w:ind w:right="320"/>
              <w:spacing w:after="0" w:line="135" w:lineRule="exact"/>
              <w:rPr>
                <w:sz w:val="20"/>
                <w:szCs w:val="20"/>
                <w:color w:val="auto"/>
              </w:rPr>
            </w:pPr>
            <w:r>
              <w:rPr>
                <w:rFonts w:ascii="Arial" w:cs="Arial" w:eastAsia="Arial" w:hAnsi="Arial"/>
                <w:sz w:val="12"/>
                <w:szCs w:val="12"/>
                <w:b w:val="1"/>
                <w:bCs w:val="1"/>
                <w:color w:val="auto"/>
                <w:w w:val="96"/>
              </w:rPr>
              <w:t>OF LAPSED</w:t>
            </w:r>
          </w:p>
        </w:tc>
        <w:tc>
          <w:tcPr>
            <w:tcW w:w="1040" w:type="dxa"/>
            <w:vAlign w:val="bottom"/>
            <w:gridSpan w:val="4"/>
          </w:tcPr>
          <w:p>
            <w:pPr>
              <w:jc w:val="center"/>
              <w:ind w:right="320"/>
              <w:spacing w:after="0" w:line="135" w:lineRule="exact"/>
              <w:rPr>
                <w:sz w:val="20"/>
                <w:szCs w:val="20"/>
                <w:color w:val="auto"/>
              </w:rPr>
            </w:pPr>
            <w:r>
              <w:rPr>
                <w:rFonts w:ascii="Arial" w:cs="Arial" w:eastAsia="Arial" w:hAnsi="Arial"/>
                <w:sz w:val="12"/>
                <w:szCs w:val="12"/>
                <w:b w:val="1"/>
                <w:bCs w:val="1"/>
                <w:color w:val="auto"/>
                <w:w w:val="97"/>
              </w:rPr>
              <w:t>EXERCISED</w:t>
            </w: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87"/>
              </w:rPr>
              <w:t>BCEs</w:t>
            </w:r>
          </w:p>
        </w:tc>
        <w:tc>
          <w:tcPr>
            <w:tcW w:w="2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BCEs</w:t>
            </w:r>
          </w:p>
        </w:tc>
        <w:tc>
          <w:tcPr>
            <w:tcW w:w="80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rPr>
              <w:t>CONDITIONS</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80" w:type="dxa"/>
            <w:vAlign w:val="bottom"/>
            <w:gridSpan w:val="3"/>
          </w:tcPr>
          <w:p>
            <w:pPr>
              <w:jc w:val="center"/>
              <w:ind w:right="260"/>
              <w:spacing w:after="0" w:line="135" w:lineRule="exact"/>
              <w:rPr>
                <w:sz w:val="20"/>
                <w:szCs w:val="20"/>
                <w:color w:val="auto"/>
              </w:rPr>
            </w:pPr>
            <w:r>
              <w:rPr>
                <w:rFonts w:ascii="Arial" w:cs="Arial" w:eastAsia="Arial" w:hAnsi="Arial"/>
                <w:sz w:val="12"/>
                <w:szCs w:val="12"/>
                <w:b w:val="1"/>
                <w:bCs w:val="1"/>
                <w:color w:val="auto"/>
                <w:w w:val="98"/>
              </w:rPr>
              <w:t>NUMBER</w:t>
            </w: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AS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480"/>
              <w:spacing w:after="0" w:line="135" w:lineRule="exact"/>
              <w:rPr>
                <w:sz w:val="20"/>
                <w:szCs w:val="20"/>
                <w:color w:val="auto"/>
              </w:rPr>
            </w:pPr>
            <w:r>
              <w:rPr>
                <w:rFonts w:ascii="Arial" w:cs="Arial" w:eastAsia="Arial" w:hAnsi="Arial"/>
                <w:sz w:val="12"/>
                <w:szCs w:val="12"/>
                <w:b w:val="1"/>
                <w:bCs w:val="1"/>
                <w:color w:val="auto"/>
                <w:w w:val="87"/>
              </w:rPr>
              <w:t>BCEs</w:t>
            </w:r>
          </w:p>
        </w:tc>
        <w:tc>
          <w:tcPr>
            <w:tcW w:w="1040" w:type="dxa"/>
            <w:vAlign w:val="bottom"/>
            <w:gridSpan w:val="4"/>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BCEs</w:t>
            </w: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9"/>
              </w:rPr>
              <w:t>OUTSTANDING</w:t>
            </w:r>
          </w:p>
        </w:tc>
        <w:tc>
          <w:tcPr>
            <w:tcW w:w="2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ARE MET</w:t>
            </w:r>
          </w:p>
        </w:tc>
      </w:tr>
      <w:tr>
        <w:trPr>
          <w:trHeight w:val="135"/>
        </w:trPr>
        <w:tc>
          <w:tcPr>
            <w:tcW w:w="2500" w:type="dxa"/>
            <w:vAlign w:val="bottom"/>
          </w:tcPr>
          <w:p>
            <w:pPr>
              <w:jc w:val="center"/>
              <w:ind w:left="490"/>
              <w:spacing w:after="0" w:line="135" w:lineRule="exact"/>
              <w:rPr>
                <w:sz w:val="20"/>
                <w:szCs w:val="20"/>
                <w:color w:val="auto"/>
              </w:rPr>
            </w:pPr>
            <w:r>
              <w:rPr>
                <w:rFonts w:ascii="Arial" w:cs="Arial" w:eastAsia="Arial" w:hAnsi="Arial"/>
                <w:sz w:val="12"/>
                <w:szCs w:val="12"/>
                <w:b w:val="1"/>
                <w:bCs w:val="1"/>
                <w:color w:val="auto"/>
                <w:w w:val="98"/>
              </w:rPr>
              <w:t>GRANT</w:t>
            </w:r>
          </w:p>
        </w:tc>
        <w:tc>
          <w:tcPr>
            <w:tcW w:w="1740" w:type="dxa"/>
            <w:vAlign w:val="bottom"/>
          </w:tcPr>
          <w:p>
            <w:pPr>
              <w:spacing w:after="0"/>
              <w:rPr>
                <w:sz w:val="11"/>
                <w:szCs w:val="11"/>
                <w:color w:val="auto"/>
              </w:rPr>
            </w:pPr>
          </w:p>
        </w:tc>
        <w:tc>
          <w:tcPr>
            <w:tcW w:w="780" w:type="dxa"/>
            <w:vAlign w:val="bottom"/>
            <w:gridSpan w:val="3"/>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OF BCEs</w:t>
            </w: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JANUARY 1,</w:t>
            </w:r>
          </w:p>
        </w:tc>
        <w:tc>
          <w:tcPr>
            <w:tcW w:w="120" w:type="dxa"/>
            <w:vAlign w:val="bottom"/>
          </w:tcPr>
          <w:p>
            <w:pPr>
              <w:spacing w:after="0"/>
              <w:rPr>
                <w:sz w:val="11"/>
                <w:szCs w:val="11"/>
                <w:color w:val="auto"/>
              </w:rPr>
            </w:pPr>
          </w:p>
        </w:tc>
        <w:tc>
          <w:tcPr>
            <w:tcW w:w="1900" w:type="dxa"/>
            <w:vAlign w:val="bottom"/>
            <w:gridSpan w:val="9"/>
          </w:tcPr>
          <w:p>
            <w:pPr>
              <w:jc w:val="right"/>
              <w:ind w:right="440"/>
              <w:spacing w:after="0" w:line="135" w:lineRule="exact"/>
              <w:rPr>
                <w:sz w:val="20"/>
                <w:szCs w:val="20"/>
                <w:color w:val="auto"/>
              </w:rPr>
            </w:pPr>
            <w:r>
              <w:rPr>
                <w:rFonts w:ascii="Arial" w:cs="Arial" w:eastAsia="Arial" w:hAnsi="Arial"/>
                <w:sz w:val="12"/>
                <w:szCs w:val="12"/>
                <w:b w:val="1"/>
                <w:bCs w:val="1"/>
                <w:color w:val="auto"/>
                <w:w w:val="97"/>
              </w:rPr>
              <w:t>FOR THE PERIOD ENDED</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3"/>
        </w:trPr>
        <w:tc>
          <w:tcPr>
            <w:tcW w:w="2500" w:type="dxa"/>
            <w:vAlign w:val="bottom"/>
          </w:tcPr>
          <w:p>
            <w:pPr>
              <w:jc w:val="center"/>
              <w:ind w:left="490"/>
              <w:spacing w:after="0"/>
              <w:rPr>
                <w:sz w:val="20"/>
                <w:szCs w:val="20"/>
                <w:color w:val="auto"/>
              </w:rPr>
            </w:pPr>
            <w:r>
              <w:rPr>
                <w:rFonts w:ascii="Arial" w:cs="Arial" w:eastAsia="Arial" w:hAnsi="Arial"/>
                <w:sz w:val="12"/>
                <w:szCs w:val="12"/>
                <w:b w:val="1"/>
                <w:bCs w:val="1"/>
                <w:color w:val="auto"/>
                <w:w w:val="91"/>
              </w:rPr>
              <w:t>DATE</w:t>
            </w:r>
          </w:p>
        </w:tc>
        <w:tc>
          <w:tcPr>
            <w:tcW w:w="1740" w:type="dxa"/>
            <w:vAlign w:val="bottom"/>
          </w:tcPr>
          <w:p>
            <w:pPr>
              <w:jc w:val="center"/>
              <w:ind w:left="489"/>
              <w:spacing w:after="0"/>
              <w:rPr>
                <w:sz w:val="20"/>
                <w:szCs w:val="20"/>
                <w:color w:val="auto"/>
              </w:rPr>
            </w:pPr>
            <w:r>
              <w:rPr>
                <w:rFonts w:ascii="Arial" w:cs="Arial" w:eastAsia="Arial" w:hAnsi="Arial"/>
                <w:sz w:val="12"/>
                <w:szCs w:val="12"/>
                <w:b w:val="1"/>
                <w:bCs w:val="1"/>
                <w:color w:val="auto"/>
                <w:w w:val="95"/>
              </w:rPr>
              <w:t>TYPE</w:t>
            </w:r>
          </w:p>
        </w:tc>
        <w:tc>
          <w:tcPr>
            <w:tcW w:w="7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3"/>
              </w:rPr>
              <w:t>ISSUED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2"/>
              </w:rPr>
              <w:t>2022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b w:val="1"/>
                <w:bCs w:val="1"/>
                <w:color w:val="auto"/>
              </w:rPr>
              <w:t>JUNE 30, 2022</w:t>
            </w:r>
          </w:p>
        </w:tc>
        <w:tc>
          <w:tcPr>
            <w:tcW w:w="44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AS OF JUNE 30, 2022</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2500" w:type="dxa"/>
            <w:vAlign w:val="bottom"/>
            <w:tcBorders>
              <w:top w:val="single" w:sz="8" w:color="CCEEFF"/>
            </w:tcBorders>
            <w:shd w:val="clear" w:color="auto" w:fill="CCEEFF"/>
          </w:tcPr>
          <w:p>
            <w:pPr>
              <w:jc w:val="right"/>
              <w:ind w:right="1770"/>
              <w:spacing w:after="0" w:line="135" w:lineRule="exact"/>
              <w:rPr>
                <w:sz w:val="20"/>
                <w:szCs w:val="20"/>
                <w:color w:val="auto"/>
              </w:rPr>
            </w:pPr>
            <w:r>
              <w:rPr>
                <w:rFonts w:ascii="Arial" w:cs="Arial" w:eastAsia="Arial" w:hAnsi="Arial"/>
                <w:sz w:val="14"/>
                <w:szCs w:val="14"/>
                <w:color w:val="auto"/>
                <w:w w:val="89"/>
              </w:rPr>
              <w:t>2014-03-11</w:t>
            </w:r>
          </w:p>
        </w:tc>
        <w:tc>
          <w:tcPr>
            <w:tcW w:w="1740" w:type="dxa"/>
            <w:vAlign w:val="bottom"/>
            <w:tcBorders>
              <w:top w:val="single" w:sz="8" w:color="CCEEFF"/>
            </w:tcBorders>
            <w:shd w:val="clear" w:color="auto" w:fill="CCEEFF"/>
          </w:tcPr>
          <w:p>
            <w:pPr>
              <w:jc w:val="center"/>
              <w:ind w:left="489"/>
              <w:spacing w:after="0" w:line="135" w:lineRule="exact"/>
              <w:rPr>
                <w:sz w:val="20"/>
                <w:szCs w:val="20"/>
                <w:color w:val="auto"/>
              </w:rPr>
            </w:pPr>
            <w:r>
              <w:rPr>
                <w:rFonts w:ascii="Arial" w:cs="Arial" w:eastAsia="Arial" w:hAnsi="Arial"/>
                <w:sz w:val="14"/>
                <w:szCs w:val="14"/>
                <w:color w:val="auto"/>
                <w:w w:val="96"/>
              </w:rPr>
              <w:t>BCE-2014-2</w:t>
            </w:r>
          </w:p>
        </w:tc>
        <w:tc>
          <w:tcPr>
            <w:tcW w:w="540" w:type="dxa"/>
            <w:vAlign w:val="bottom"/>
            <w:tcBorders>
              <w:top w:val="single" w:sz="8" w:color="CCEEFF"/>
            </w:tcBorders>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2,750</w:t>
            </w:r>
          </w:p>
        </w:tc>
        <w:tc>
          <w:tcPr>
            <w:tcW w:w="2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gridSpan w:val="3"/>
            <w:shd w:val="clear" w:color="auto" w:fill="CCEEFF"/>
          </w:tcPr>
          <w:p>
            <w:pPr>
              <w:ind w:left="220"/>
              <w:spacing w:after="0" w:line="135" w:lineRule="exact"/>
              <w:rPr>
                <w:sz w:val="20"/>
                <w:szCs w:val="20"/>
                <w:color w:val="auto"/>
              </w:rPr>
            </w:pPr>
            <w:r>
              <w:rPr>
                <w:rFonts w:ascii="Arial" w:cs="Arial" w:eastAsia="Arial" w:hAnsi="Arial"/>
                <w:sz w:val="14"/>
                <w:szCs w:val="14"/>
                <w:color w:val="auto"/>
              </w:rPr>
              <w:t>—  </w:t>
            </w:r>
          </w:p>
        </w:tc>
        <w:tc>
          <w:tcPr>
            <w:tcW w:w="1040" w:type="dxa"/>
            <w:vAlign w:val="bottom"/>
            <w:tcBorders>
              <w:top w:val="single" w:sz="8" w:color="CCEEFF"/>
            </w:tcBorders>
            <w:gridSpan w:val="4"/>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rPr>
              <w:t>—  </w:t>
            </w:r>
          </w:p>
        </w:tc>
        <w:tc>
          <w:tcPr>
            <w:tcW w:w="920" w:type="dxa"/>
            <w:vAlign w:val="bottom"/>
            <w:tcBorders>
              <w:top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1,000</w:t>
            </w:r>
          </w:p>
        </w:tc>
        <w:tc>
          <w:tcPr>
            <w:tcW w:w="1320" w:type="dxa"/>
            <w:vAlign w:val="bottom"/>
            <w:tcBorders>
              <w:top w:val="single" w:sz="8" w:color="auto"/>
            </w:tcBorders>
            <w:gridSpan w:val="3"/>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1,000</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100,000</w:t>
            </w:r>
          </w:p>
        </w:tc>
        <w:tc>
          <w:tcPr>
            <w:tcW w:w="40" w:type="dxa"/>
            <w:vAlign w:val="bottom"/>
            <w:tcBorders>
              <w:top w:val="single" w:sz="8" w:color="CCEEFF"/>
            </w:tcBorders>
            <w:shd w:val="clear" w:color="auto" w:fill="CCEEFF"/>
          </w:tcPr>
          <w:p>
            <w:pPr>
              <w:spacing w:after="0"/>
              <w:rPr>
                <w:sz w:val="11"/>
                <w:szCs w:val="11"/>
                <w:color w:val="auto"/>
              </w:rPr>
            </w:pP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2016-11-07</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BCE-2014-4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984</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184</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18,400</w:t>
            </w:r>
          </w:p>
        </w:tc>
      </w:tr>
      <w:tr>
        <w:trPr>
          <w:trHeight w:val="148"/>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2016-11-07</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BCE-2016-1</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24,495</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2017-01-23</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BCE-2017-1</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33,313</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67,000</w:t>
            </w:r>
          </w:p>
        </w:tc>
      </w:tr>
      <w:tr>
        <w:trPr>
          <w:trHeight w:val="149"/>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2017-11-20</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BCE-2017-2</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150,000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2017-11-20</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BCE-2017-4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67,373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33,686</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67,373</w:t>
            </w:r>
          </w:p>
        </w:tc>
      </w:tr>
      <w:tr>
        <w:trPr>
          <w:trHeight w:val="148"/>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2017-11-20</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BCE-2017-5</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64,374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30,686</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2018-03-15</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BCE-2018-1</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22,000</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15,070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15,070</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15,070</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15,070</w:t>
            </w:r>
          </w:p>
        </w:tc>
      </w:tr>
      <w:tr>
        <w:trPr>
          <w:trHeight w:val="148"/>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2018-05-14</w:t>
            </w:r>
          </w:p>
        </w:tc>
        <w:tc>
          <w:tcPr>
            <w:tcW w:w="1740" w:type="dxa"/>
            <w:vAlign w:val="bottom"/>
            <w:shd w:val="clear" w:color="auto" w:fill="CCEEFF"/>
          </w:tcPr>
          <w:p>
            <w:pPr>
              <w:jc w:val="center"/>
              <w:ind w:left="469"/>
              <w:spacing w:after="0" w:line="149" w:lineRule="exact"/>
              <w:rPr>
                <w:sz w:val="20"/>
                <w:szCs w:val="20"/>
                <w:color w:val="auto"/>
              </w:rPr>
            </w:pPr>
            <w:r>
              <w:rPr>
                <w:rFonts w:ascii="Arial" w:cs="Arial" w:eastAsia="Arial" w:hAnsi="Arial"/>
                <w:sz w:val="14"/>
                <w:szCs w:val="14"/>
                <w:color w:val="auto"/>
                <w:w w:val="94"/>
              </w:rPr>
              <w:t>BCE 2018-3</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33,687</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16,844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—   </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2018-05-14</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BCE-2018-4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16,843</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16,843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8,422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16,843</w:t>
            </w:r>
          </w:p>
        </w:tc>
      </w:tr>
      <w:tr>
        <w:trPr>
          <w:trHeight w:val="149"/>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2018-05-14</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BCE-2018-5</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6,584</w:t>
            </w:r>
          </w:p>
        </w:tc>
        <w:tc>
          <w:tcPr>
            <w:tcW w:w="8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(334)</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r>
      <w:tr>
        <w:trPr>
          <w:trHeight w:val="155"/>
        </w:trPr>
        <w:tc>
          <w:tcPr>
            <w:tcW w:w="2500" w:type="dxa"/>
            <w:vAlign w:val="bottom"/>
          </w:tcPr>
          <w:p>
            <w:pPr>
              <w:spacing w:after="0"/>
              <w:rPr>
                <w:sz w:val="13"/>
                <w:szCs w:val="13"/>
                <w:color w:val="auto"/>
              </w:rPr>
            </w:pPr>
          </w:p>
        </w:tc>
        <w:tc>
          <w:tcPr>
            <w:tcW w:w="1740" w:type="dxa"/>
            <w:vAlign w:val="bottom"/>
          </w:tcPr>
          <w:p>
            <w:pPr>
              <w:jc w:val="center"/>
              <w:ind w:left="449"/>
              <w:spacing w:after="0" w:line="155" w:lineRule="exact"/>
              <w:rPr>
                <w:sz w:val="20"/>
                <w:szCs w:val="20"/>
                <w:color w:val="auto"/>
              </w:rPr>
            </w:pPr>
            <w:r>
              <w:rPr>
                <w:rFonts w:ascii="Arial" w:cs="Arial" w:eastAsia="Arial" w:hAnsi="Arial"/>
                <w:sz w:val="14"/>
                <w:szCs w:val="14"/>
                <w:b w:val="1"/>
                <w:bCs w:val="1"/>
                <w:color w:val="auto"/>
                <w:w w:val="93"/>
              </w:rPr>
              <w:t>Total BCEs</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534,386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429,767</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ind w:left="400"/>
              <w:spacing w:after="0" w:line="155" w:lineRule="exact"/>
              <w:rPr>
                <w:sz w:val="20"/>
                <w:szCs w:val="20"/>
                <w:color w:val="auto"/>
              </w:rPr>
            </w:pPr>
            <w:r>
              <w:rPr>
                <w:rFonts w:ascii="Arial" w:cs="Arial" w:eastAsia="Arial" w:hAnsi="Arial"/>
                <w:sz w:val="14"/>
                <w:szCs w:val="14"/>
                <w:b w:val="1"/>
                <w:bCs w:val="1"/>
                <w:color w:val="auto"/>
                <w:w w:val="73"/>
              </w:rPr>
              <w:t>(250)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(334)</w:t>
            </w:r>
          </w:p>
        </w:tc>
        <w:tc>
          <w:tcPr>
            <w:tcW w:w="3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429,183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227,856</w:t>
            </w:r>
          </w:p>
        </w:tc>
        <w:tc>
          <w:tcPr>
            <w:tcW w:w="2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546,399</w:t>
            </w:r>
          </w:p>
        </w:tc>
        <w:tc>
          <w:tcPr>
            <w:tcW w:w="40" w:type="dxa"/>
            <w:vAlign w:val="bottom"/>
          </w:tcPr>
          <w:p>
            <w:pPr>
              <w:spacing w:after="0"/>
              <w:rPr>
                <w:sz w:val="13"/>
                <w:szCs w:val="13"/>
                <w:color w:val="auto"/>
              </w:rPr>
            </w:pPr>
          </w:p>
        </w:tc>
      </w:tr>
      <w:tr>
        <w:trPr>
          <w:trHeight w:val="20"/>
        </w:trPr>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4"/>
        </w:trPr>
        <w:tc>
          <w:tcPr>
            <w:tcW w:w="2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MAXIMUM</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NUMBER OF</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4"/>
              </w:rPr>
              <w:t>SHARES TO</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5"/>
              </w:rPr>
              <w:t>BE ISSUED</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rPr>
              <w:t>BCE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200"/>
              <w:spacing w:after="0" w:line="135" w:lineRule="exact"/>
              <w:rPr>
                <w:sz w:val="20"/>
                <w:szCs w:val="20"/>
                <w:color w:val="auto"/>
              </w:rPr>
            </w:pPr>
            <w:r>
              <w:rPr>
                <w:rFonts w:ascii="Arial" w:cs="Arial" w:eastAsia="Arial" w:hAnsi="Arial"/>
                <w:sz w:val="12"/>
                <w:szCs w:val="12"/>
                <w:b w:val="1"/>
                <w:bCs w:val="1"/>
                <w:color w:val="auto"/>
                <w:w w:val="98"/>
              </w:rPr>
              <w:t>NUMBER</w:t>
            </w:r>
          </w:p>
        </w:tc>
        <w:tc>
          <w:tcPr>
            <w:tcW w:w="1040" w:type="dxa"/>
            <w:vAlign w:val="bottom"/>
            <w:gridSpan w:val="4"/>
          </w:tcPr>
          <w:p>
            <w:pPr>
              <w:jc w:val="center"/>
              <w:ind w:right="300"/>
              <w:spacing w:after="0" w:line="135" w:lineRule="exact"/>
              <w:rPr>
                <w:sz w:val="20"/>
                <w:szCs w:val="20"/>
                <w:color w:val="auto"/>
              </w:rPr>
            </w:pPr>
            <w:r>
              <w:rPr>
                <w:rFonts w:ascii="Arial" w:cs="Arial" w:eastAsia="Arial" w:hAnsi="Arial"/>
                <w:sz w:val="12"/>
                <w:szCs w:val="12"/>
                <w:b w:val="1"/>
                <w:bCs w:val="1"/>
                <w:color w:val="auto"/>
                <w:w w:val="96"/>
              </w:rPr>
              <w:t>NUMBER OF</w:t>
            </w: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9"/>
              </w:rPr>
              <w:t>NUMBER OF</w:t>
            </w:r>
          </w:p>
        </w:tc>
        <w:tc>
          <w:tcPr>
            <w:tcW w:w="20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6"/>
              </w:rPr>
              <w:t>NUMBER OF</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rPr>
              <w:t>IF ALL</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OUTSTANDING</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2"/>
                <w:szCs w:val="12"/>
                <w:b w:val="1"/>
                <w:bCs w:val="1"/>
                <w:color w:val="auto"/>
                <w:w w:val="96"/>
              </w:rPr>
              <w:t>OF LAPSED</w:t>
            </w:r>
          </w:p>
        </w:tc>
        <w:tc>
          <w:tcPr>
            <w:tcW w:w="1040" w:type="dxa"/>
            <w:vAlign w:val="bottom"/>
            <w:gridSpan w:val="4"/>
          </w:tcPr>
          <w:p>
            <w:pPr>
              <w:jc w:val="center"/>
              <w:ind w:right="320"/>
              <w:spacing w:after="0" w:line="135" w:lineRule="exact"/>
              <w:rPr>
                <w:sz w:val="20"/>
                <w:szCs w:val="20"/>
                <w:color w:val="auto"/>
              </w:rPr>
            </w:pPr>
            <w:r>
              <w:rPr>
                <w:rFonts w:ascii="Arial" w:cs="Arial" w:eastAsia="Arial" w:hAnsi="Arial"/>
                <w:sz w:val="12"/>
                <w:szCs w:val="12"/>
                <w:b w:val="1"/>
                <w:bCs w:val="1"/>
                <w:color w:val="auto"/>
                <w:w w:val="97"/>
              </w:rPr>
              <w:t>EXERCISED</w:t>
            </w: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87"/>
              </w:rPr>
              <w:t>BCEs</w:t>
            </w:r>
          </w:p>
        </w:tc>
        <w:tc>
          <w:tcPr>
            <w:tcW w:w="2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BCEs</w:t>
            </w:r>
          </w:p>
        </w:tc>
        <w:tc>
          <w:tcPr>
            <w:tcW w:w="80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rPr>
              <w:t>CONDITIONS</w:t>
            </w:r>
          </w:p>
        </w:tc>
      </w:tr>
      <w:tr>
        <w:trPr>
          <w:trHeight w:val="135"/>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80" w:type="dxa"/>
            <w:vAlign w:val="bottom"/>
            <w:gridSpan w:val="3"/>
          </w:tcPr>
          <w:p>
            <w:pPr>
              <w:jc w:val="center"/>
              <w:ind w:right="260"/>
              <w:spacing w:after="0" w:line="135" w:lineRule="exact"/>
              <w:rPr>
                <w:sz w:val="20"/>
                <w:szCs w:val="20"/>
                <w:color w:val="auto"/>
              </w:rPr>
            </w:pPr>
            <w:r>
              <w:rPr>
                <w:rFonts w:ascii="Arial" w:cs="Arial" w:eastAsia="Arial" w:hAnsi="Arial"/>
                <w:sz w:val="12"/>
                <w:szCs w:val="12"/>
                <w:b w:val="1"/>
                <w:bCs w:val="1"/>
                <w:color w:val="auto"/>
                <w:w w:val="98"/>
              </w:rPr>
              <w:t>NUMBER</w:t>
            </w: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AS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3"/>
              </w:rPr>
              <w:t>BCEs</w:t>
            </w:r>
          </w:p>
        </w:tc>
        <w:tc>
          <w:tcPr>
            <w:tcW w:w="1040" w:type="dxa"/>
            <w:vAlign w:val="bottom"/>
            <w:gridSpan w:val="4"/>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BCEs</w:t>
            </w: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9"/>
              </w:rPr>
              <w:t>OUTSTANDING</w:t>
            </w:r>
          </w:p>
        </w:tc>
        <w:tc>
          <w:tcPr>
            <w:tcW w:w="2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ARE MET</w:t>
            </w:r>
          </w:p>
        </w:tc>
      </w:tr>
      <w:tr>
        <w:trPr>
          <w:trHeight w:val="135"/>
        </w:trPr>
        <w:tc>
          <w:tcPr>
            <w:tcW w:w="2500" w:type="dxa"/>
            <w:vAlign w:val="bottom"/>
          </w:tcPr>
          <w:p>
            <w:pPr>
              <w:jc w:val="center"/>
              <w:ind w:left="490"/>
              <w:spacing w:after="0" w:line="135" w:lineRule="exact"/>
              <w:rPr>
                <w:sz w:val="20"/>
                <w:szCs w:val="20"/>
                <w:color w:val="auto"/>
              </w:rPr>
            </w:pPr>
            <w:r>
              <w:rPr>
                <w:rFonts w:ascii="Arial" w:cs="Arial" w:eastAsia="Arial" w:hAnsi="Arial"/>
                <w:sz w:val="12"/>
                <w:szCs w:val="12"/>
                <w:b w:val="1"/>
                <w:bCs w:val="1"/>
                <w:color w:val="auto"/>
                <w:w w:val="98"/>
              </w:rPr>
              <w:t>GRANT</w:t>
            </w:r>
          </w:p>
        </w:tc>
        <w:tc>
          <w:tcPr>
            <w:tcW w:w="1740" w:type="dxa"/>
            <w:vAlign w:val="bottom"/>
          </w:tcPr>
          <w:p>
            <w:pPr>
              <w:spacing w:after="0"/>
              <w:rPr>
                <w:sz w:val="11"/>
                <w:szCs w:val="11"/>
                <w:color w:val="auto"/>
              </w:rPr>
            </w:pPr>
          </w:p>
        </w:tc>
        <w:tc>
          <w:tcPr>
            <w:tcW w:w="780" w:type="dxa"/>
            <w:vAlign w:val="bottom"/>
            <w:gridSpan w:val="3"/>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OF BCEs</w:t>
            </w: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JANUARY 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FOR THE PERIOD ENDED</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0"/>
        </w:trPr>
        <w:tc>
          <w:tcPr>
            <w:tcW w:w="2500" w:type="dxa"/>
            <w:vAlign w:val="bottom"/>
            <w:tcBorders>
              <w:bottom w:val="single" w:sz="8" w:color="CCEEFF"/>
            </w:tcBorders>
          </w:tcPr>
          <w:p>
            <w:pPr>
              <w:jc w:val="center"/>
              <w:ind w:left="490"/>
              <w:spacing w:after="0"/>
              <w:rPr>
                <w:sz w:val="20"/>
                <w:szCs w:val="20"/>
                <w:color w:val="auto"/>
              </w:rPr>
            </w:pPr>
            <w:r>
              <w:rPr>
                <w:rFonts w:ascii="Arial" w:cs="Arial" w:eastAsia="Arial" w:hAnsi="Arial"/>
                <w:sz w:val="12"/>
                <w:szCs w:val="12"/>
                <w:b w:val="1"/>
                <w:bCs w:val="1"/>
                <w:color w:val="auto"/>
                <w:w w:val="91"/>
              </w:rPr>
              <w:t>DATE</w:t>
            </w:r>
          </w:p>
        </w:tc>
        <w:tc>
          <w:tcPr>
            <w:tcW w:w="1740" w:type="dxa"/>
            <w:vAlign w:val="bottom"/>
            <w:tcBorders>
              <w:bottom w:val="single" w:sz="8" w:color="CCEEFF"/>
            </w:tcBorders>
          </w:tcPr>
          <w:p>
            <w:pPr>
              <w:jc w:val="center"/>
              <w:ind w:left="489"/>
              <w:spacing w:after="0"/>
              <w:rPr>
                <w:sz w:val="20"/>
                <w:szCs w:val="20"/>
                <w:color w:val="auto"/>
              </w:rPr>
            </w:pPr>
            <w:r>
              <w:rPr>
                <w:rFonts w:ascii="Arial" w:cs="Arial" w:eastAsia="Arial" w:hAnsi="Arial"/>
                <w:sz w:val="12"/>
                <w:szCs w:val="12"/>
                <w:b w:val="1"/>
                <w:bCs w:val="1"/>
                <w:color w:val="auto"/>
                <w:w w:val="95"/>
              </w:rPr>
              <w:t>TYPE</w:t>
            </w:r>
          </w:p>
        </w:tc>
        <w:tc>
          <w:tcPr>
            <w:tcW w:w="780" w:type="dxa"/>
            <w:vAlign w:val="bottom"/>
            <w:tcBorders>
              <w:bottom w:val="single" w:sz="8" w:color="CCEEFF"/>
            </w:tcBorders>
            <w:gridSpan w:val="3"/>
          </w:tcPr>
          <w:p>
            <w:pPr>
              <w:jc w:val="center"/>
              <w:ind w:right="280"/>
              <w:spacing w:after="0"/>
              <w:rPr>
                <w:sz w:val="20"/>
                <w:szCs w:val="20"/>
                <w:color w:val="auto"/>
              </w:rPr>
            </w:pPr>
            <w:r>
              <w:rPr>
                <w:rFonts w:ascii="Arial" w:cs="Arial" w:eastAsia="Arial" w:hAnsi="Arial"/>
                <w:sz w:val="12"/>
                <w:szCs w:val="12"/>
                <w:b w:val="1"/>
                <w:bCs w:val="1"/>
                <w:color w:val="auto"/>
                <w:w w:val="93"/>
              </w:rPr>
              <w:t>ISSUED</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b w:val="1"/>
                <w:bCs w:val="1"/>
                <w:color w:val="auto"/>
                <w:w w:val="82"/>
              </w:rPr>
              <w:t>2023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gridSpan w:val="5"/>
          </w:tcPr>
          <w:p>
            <w:pPr>
              <w:ind w:left="340"/>
              <w:spacing w:after="0"/>
              <w:rPr>
                <w:sz w:val="20"/>
                <w:szCs w:val="20"/>
                <w:color w:val="auto"/>
              </w:rPr>
            </w:pPr>
            <w:r>
              <w:rPr>
                <w:rFonts w:ascii="Arial" w:cs="Arial" w:eastAsia="Arial" w:hAnsi="Arial"/>
                <w:sz w:val="12"/>
                <w:szCs w:val="12"/>
                <w:b w:val="1"/>
                <w:bCs w:val="1"/>
                <w:color w:val="auto"/>
              </w:rPr>
              <w:t>JUNE 30, 2023</w:t>
            </w:r>
          </w:p>
        </w:tc>
        <w:tc>
          <w:tcPr>
            <w:tcW w:w="340" w:type="dxa"/>
            <w:vAlign w:val="bottom"/>
            <w:tcBorders>
              <w:bottom w:val="single" w:sz="8" w:color="CCEEFF"/>
            </w:tcBorders>
            <w:gridSpan w:val="2"/>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AS OF JUNE 30, 2023</w:t>
            </w: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83"/>
        </w:trPr>
        <w:tc>
          <w:tcPr>
            <w:tcW w:w="2500" w:type="dxa"/>
            <w:vAlign w:val="bottom"/>
            <w:tcBorders>
              <w:bottom w:val="single" w:sz="8" w:color="CCEEFF"/>
            </w:tcBorders>
            <w:shd w:val="clear" w:color="auto" w:fill="CCEEFF"/>
          </w:tcPr>
          <w:p>
            <w:pPr>
              <w:jc w:val="right"/>
              <w:ind w:right="1770"/>
              <w:spacing w:after="0"/>
              <w:rPr>
                <w:sz w:val="20"/>
                <w:szCs w:val="20"/>
                <w:color w:val="auto"/>
              </w:rPr>
            </w:pPr>
            <w:r>
              <w:rPr>
                <w:rFonts w:ascii="Arial" w:cs="Arial" w:eastAsia="Arial" w:hAnsi="Arial"/>
                <w:sz w:val="14"/>
                <w:szCs w:val="14"/>
                <w:color w:val="auto"/>
                <w:w w:val="89"/>
              </w:rPr>
              <w:t>2014-03-11</w:t>
            </w:r>
          </w:p>
        </w:tc>
        <w:tc>
          <w:tcPr>
            <w:tcW w:w="174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w w:val="96"/>
              </w:rPr>
              <w:t>BCE-2014-2</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2,750</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10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(1,000)</w:t>
            </w: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w w:val="96"/>
              </w:rPr>
              <w:t>—  </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w w:val="96"/>
              </w:rPr>
              <w:t>—  </w:t>
            </w:r>
          </w:p>
        </w:tc>
      </w:tr>
      <w:tr>
        <w:trPr>
          <w:trHeight w:val="203"/>
        </w:trPr>
        <w:tc>
          <w:tcPr>
            <w:tcW w:w="2500" w:type="dxa"/>
            <w:vAlign w:val="bottom"/>
          </w:tcPr>
          <w:p>
            <w:pPr>
              <w:jc w:val="right"/>
              <w:ind w:right="1770"/>
              <w:spacing w:after="0"/>
              <w:rPr>
                <w:sz w:val="20"/>
                <w:szCs w:val="20"/>
                <w:color w:val="auto"/>
              </w:rPr>
            </w:pPr>
            <w:r>
              <w:rPr>
                <w:rFonts w:ascii="Arial" w:cs="Arial" w:eastAsia="Arial" w:hAnsi="Arial"/>
                <w:sz w:val="14"/>
                <w:szCs w:val="14"/>
                <w:color w:val="auto"/>
                <w:w w:val="89"/>
              </w:rPr>
              <w:t>2014-03-11</w:t>
            </w:r>
          </w:p>
        </w:tc>
        <w:tc>
          <w:tcPr>
            <w:tcW w:w="1740" w:type="dxa"/>
            <w:vAlign w:val="bottom"/>
          </w:tcPr>
          <w:p>
            <w:pPr>
              <w:jc w:val="center"/>
              <w:ind w:left="489"/>
              <w:spacing w:after="0"/>
              <w:rPr>
                <w:sz w:val="20"/>
                <w:szCs w:val="20"/>
                <w:color w:val="auto"/>
              </w:rPr>
            </w:pPr>
            <w:r>
              <w:rPr>
                <w:rFonts w:ascii="Arial" w:cs="Arial" w:eastAsia="Arial" w:hAnsi="Arial"/>
                <w:sz w:val="14"/>
                <w:szCs w:val="14"/>
                <w:color w:val="auto"/>
                <w:w w:val="96"/>
              </w:rPr>
              <w:t>BCE-2014-4</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984</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ind w:left="400"/>
              <w:spacing w:after="0"/>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(184)</w:t>
            </w:r>
          </w:p>
        </w:tc>
        <w:tc>
          <w:tcPr>
            <w:tcW w:w="920" w:type="dxa"/>
            <w:vAlign w:val="bottom"/>
            <w:gridSpan w:val="2"/>
          </w:tcPr>
          <w:p>
            <w:pPr>
              <w:ind w:left="660"/>
              <w:spacing w:after="0"/>
              <w:rPr>
                <w:sz w:val="20"/>
                <w:szCs w:val="20"/>
                <w:color w:val="auto"/>
              </w:rPr>
            </w:pPr>
            <w:r>
              <w:rPr>
                <w:rFonts w:ascii="Arial" w:cs="Arial" w:eastAsia="Arial" w:hAnsi="Arial"/>
                <w:sz w:val="14"/>
                <w:szCs w:val="14"/>
                <w:color w:val="auto"/>
                <w:w w:val="96"/>
              </w:rPr>
              <w:t>—  </w:t>
            </w:r>
          </w:p>
        </w:tc>
        <w:tc>
          <w:tcPr>
            <w:tcW w:w="200" w:type="dxa"/>
            <w:vAlign w:val="bottom"/>
          </w:tcPr>
          <w:p>
            <w:pPr>
              <w:spacing w:after="0"/>
              <w:rPr>
                <w:sz w:val="17"/>
                <w:szCs w:val="17"/>
                <w:color w:val="auto"/>
              </w:rPr>
            </w:pPr>
          </w:p>
        </w:tc>
        <w:tc>
          <w:tcPr>
            <w:tcW w:w="1120" w:type="dxa"/>
            <w:vAlign w:val="bottom"/>
            <w:gridSpan w:val="2"/>
          </w:tcPr>
          <w:p>
            <w:pPr>
              <w:ind w:left="640"/>
              <w:spacing w:after="0"/>
              <w:rPr>
                <w:sz w:val="20"/>
                <w:szCs w:val="20"/>
                <w:color w:val="auto"/>
              </w:rPr>
            </w:pPr>
            <w:r>
              <w:rPr>
                <w:rFonts w:ascii="Arial" w:cs="Arial" w:eastAsia="Arial" w:hAnsi="Arial"/>
                <w:sz w:val="14"/>
                <w:szCs w:val="14"/>
                <w:color w:val="auto"/>
              </w:rPr>
              <w:t>—  </w:t>
            </w:r>
          </w:p>
        </w:tc>
        <w:tc>
          <w:tcPr>
            <w:tcW w:w="800" w:type="dxa"/>
            <w:vAlign w:val="bottom"/>
            <w:gridSpan w:val="2"/>
          </w:tcPr>
          <w:p>
            <w:pPr>
              <w:ind w:left="540"/>
              <w:spacing w:after="0"/>
              <w:rPr>
                <w:sz w:val="20"/>
                <w:szCs w:val="20"/>
                <w:color w:val="auto"/>
              </w:rPr>
            </w:pPr>
            <w:r>
              <w:rPr>
                <w:rFonts w:ascii="Arial" w:cs="Arial" w:eastAsia="Arial" w:hAnsi="Arial"/>
                <w:sz w:val="14"/>
                <w:szCs w:val="14"/>
                <w:color w:val="auto"/>
                <w:w w:val="96"/>
              </w:rPr>
              <w:t>—  </w:t>
            </w:r>
          </w:p>
        </w:tc>
      </w:tr>
      <w:tr>
        <w:trPr>
          <w:trHeight w:val="148"/>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2016-11-07</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BCE-2016-1</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22,495</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24,495</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22,495</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2017-01-23</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BCE-2017-1</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33,313</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67,000</w:t>
            </w:r>
          </w:p>
        </w:tc>
      </w:tr>
      <w:tr>
        <w:trPr>
          <w:trHeight w:val="149"/>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2017-11-20</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BCE-2017-2</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150,000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2017-11-20</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BCE-2017-4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67,373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33,686</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67,373</w:t>
            </w:r>
          </w:p>
        </w:tc>
      </w:tr>
      <w:tr>
        <w:trPr>
          <w:trHeight w:val="149"/>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2017-11-20</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BCE-2017-5</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64,374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30,686</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r>
      <w:tr>
        <w:trPr>
          <w:trHeight w:val="148"/>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2018-03-15</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BCE-2018-1</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22,000</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11,980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11,980</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11,980</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11,980</w:t>
            </w:r>
          </w:p>
        </w:tc>
      </w:tr>
      <w:tr>
        <w:trPr>
          <w:trHeight w:val="148"/>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2018-05-14</w:t>
            </w:r>
          </w:p>
        </w:tc>
        <w:tc>
          <w:tcPr>
            <w:tcW w:w="1740" w:type="dxa"/>
            <w:vAlign w:val="bottom"/>
            <w:shd w:val="clear" w:color="auto" w:fill="CCEEFF"/>
          </w:tcPr>
          <w:p>
            <w:pPr>
              <w:jc w:val="center"/>
              <w:ind w:left="469"/>
              <w:spacing w:after="0" w:line="149" w:lineRule="exact"/>
              <w:rPr>
                <w:sz w:val="20"/>
                <w:szCs w:val="20"/>
                <w:color w:val="auto"/>
              </w:rPr>
            </w:pPr>
            <w:r>
              <w:rPr>
                <w:rFonts w:ascii="Arial" w:cs="Arial" w:eastAsia="Arial" w:hAnsi="Arial"/>
                <w:sz w:val="14"/>
                <w:szCs w:val="14"/>
                <w:color w:val="auto"/>
                <w:w w:val="94"/>
              </w:rPr>
              <w:t>BCE 2018-3</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33,687</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16,844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—   </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r>
      <w:tr>
        <w:trPr>
          <w:trHeight w:val="149"/>
        </w:trPr>
        <w:tc>
          <w:tcPr>
            <w:tcW w:w="2500" w:type="dxa"/>
            <w:vAlign w:val="bottom"/>
          </w:tcPr>
          <w:p>
            <w:pPr>
              <w:jc w:val="right"/>
              <w:ind w:right="1770"/>
              <w:spacing w:after="0" w:line="149" w:lineRule="exact"/>
              <w:rPr>
                <w:sz w:val="20"/>
                <w:szCs w:val="20"/>
                <w:color w:val="auto"/>
              </w:rPr>
            </w:pPr>
            <w:r>
              <w:rPr>
                <w:rFonts w:ascii="Arial" w:cs="Arial" w:eastAsia="Arial" w:hAnsi="Arial"/>
                <w:sz w:val="14"/>
                <w:szCs w:val="14"/>
                <w:color w:val="auto"/>
                <w:w w:val="89"/>
              </w:rPr>
              <w:t>2018-05-14</w:t>
            </w:r>
          </w:p>
        </w:tc>
        <w:tc>
          <w:tcPr>
            <w:tcW w:w="1740" w:type="dxa"/>
            <w:vAlign w:val="bottom"/>
          </w:tcPr>
          <w:p>
            <w:pPr>
              <w:jc w:val="center"/>
              <w:ind w:left="489"/>
              <w:spacing w:after="0" w:line="149" w:lineRule="exact"/>
              <w:rPr>
                <w:sz w:val="20"/>
                <w:szCs w:val="20"/>
                <w:color w:val="auto"/>
              </w:rPr>
            </w:pPr>
            <w:r>
              <w:rPr>
                <w:rFonts w:ascii="Arial" w:cs="Arial" w:eastAsia="Arial" w:hAnsi="Arial"/>
                <w:sz w:val="14"/>
                <w:szCs w:val="14"/>
                <w:color w:val="auto"/>
                <w:w w:val="96"/>
              </w:rPr>
              <w:t>BCE-2018-4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16,843</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16,843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8,422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16,843</w:t>
            </w:r>
          </w:p>
        </w:tc>
      </w:tr>
      <w:tr>
        <w:trPr>
          <w:trHeight w:val="148"/>
        </w:trPr>
        <w:tc>
          <w:tcPr>
            <w:tcW w:w="2500" w:type="dxa"/>
            <w:vAlign w:val="bottom"/>
            <w:shd w:val="clear" w:color="auto" w:fill="CCEEFF"/>
          </w:tcPr>
          <w:p>
            <w:pPr>
              <w:jc w:val="right"/>
              <w:ind w:right="1770"/>
              <w:spacing w:after="0" w:line="149" w:lineRule="exact"/>
              <w:rPr>
                <w:sz w:val="20"/>
                <w:szCs w:val="20"/>
                <w:color w:val="auto"/>
              </w:rPr>
            </w:pPr>
            <w:r>
              <w:rPr>
                <w:rFonts w:ascii="Arial" w:cs="Arial" w:eastAsia="Arial" w:hAnsi="Arial"/>
                <w:sz w:val="14"/>
                <w:szCs w:val="14"/>
                <w:color w:val="auto"/>
                <w:w w:val="89"/>
              </w:rPr>
              <w:t>2018-05-14</w:t>
            </w:r>
          </w:p>
        </w:tc>
        <w:tc>
          <w:tcPr>
            <w:tcW w:w="1740" w:type="dxa"/>
            <w:vAlign w:val="bottom"/>
            <w:shd w:val="clear" w:color="auto" w:fill="CCEEFF"/>
          </w:tcPr>
          <w:p>
            <w:pPr>
              <w:jc w:val="center"/>
              <w:ind w:left="489"/>
              <w:spacing w:after="0" w:line="149" w:lineRule="exact"/>
              <w:rPr>
                <w:sz w:val="20"/>
                <w:szCs w:val="20"/>
                <w:color w:val="auto"/>
              </w:rPr>
            </w:pPr>
            <w:r>
              <w:rPr>
                <w:rFonts w:ascii="Arial" w:cs="Arial" w:eastAsia="Arial" w:hAnsi="Arial"/>
                <w:sz w:val="14"/>
                <w:szCs w:val="14"/>
                <w:color w:val="auto"/>
                <w:w w:val="96"/>
              </w:rPr>
              <w:t>BCE-2018-5</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r>
      <w:tr>
        <w:trPr>
          <w:trHeight w:val="155"/>
        </w:trPr>
        <w:tc>
          <w:tcPr>
            <w:tcW w:w="2500" w:type="dxa"/>
            <w:vAlign w:val="bottom"/>
          </w:tcPr>
          <w:p>
            <w:pPr>
              <w:spacing w:after="0"/>
              <w:rPr>
                <w:sz w:val="13"/>
                <w:szCs w:val="13"/>
                <w:color w:val="auto"/>
              </w:rPr>
            </w:pPr>
          </w:p>
        </w:tc>
        <w:tc>
          <w:tcPr>
            <w:tcW w:w="1740" w:type="dxa"/>
            <w:vAlign w:val="bottom"/>
          </w:tcPr>
          <w:p>
            <w:pPr>
              <w:jc w:val="center"/>
              <w:ind w:left="449"/>
              <w:spacing w:after="0" w:line="155" w:lineRule="exact"/>
              <w:rPr>
                <w:sz w:val="20"/>
                <w:szCs w:val="20"/>
                <w:color w:val="auto"/>
              </w:rPr>
            </w:pPr>
            <w:r>
              <w:rPr>
                <w:rFonts w:ascii="Arial" w:cs="Arial" w:eastAsia="Arial" w:hAnsi="Arial"/>
                <w:sz w:val="14"/>
                <w:szCs w:val="14"/>
                <w:b w:val="1"/>
                <w:bCs w:val="1"/>
                <w:color w:val="auto"/>
                <w:w w:val="93"/>
              </w:rPr>
              <w:t>Total BCEs</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534,386</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424,093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ind w:left="400"/>
              <w:spacing w:after="0" w:line="155" w:lineRule="exact"/>
              <w:rPr>
                <w:sz w:val="20"/>
                <w:szCs w:val="20"/>
                <w:color w:val="auto"/>
              </w:rPr>
            </w:pPr>
            <w:r>
              <w:rPr>
                <w:rFonts w:ascii="Arial" w:cs="Arial" w:eastAsia="Arial" w:hAnsi="Arial"/>
                <w:sz w:val="14"/>
                <w:szCs w:val="14"/>
                <w:b w:val="1"/>
                <w:bCs w:val="1"/>
                <w:color w:val="auto"/>
                <w:w w:val="80"/>
              </w:rPr>
              <w:t>—  </w:t>
            </w:r>
          </w:p>
        </w:tc>
        <w:tc>
          <w:tcPr>
            <w:tcW w:w="140" w:type="dxa"/>
            <w:vAlign w:val="bottom"/>
          </w:tcPr>
          <w:p>
            <w:pPr>
              <w:spacing w:after="0"/>
              <w:rPr>
                <w:sz w:val="13"/>
                <w:szCs w:val="13"/>
                <w:color w:val="auto"/>
              </w:rPr>
            </w:pPr>
          </w:p>
        </w:tc>
        <w:tc>
          <w:tcPr>
            <w:tcW w:w="7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(1,184)</w:t>
            </w:r>
          </w:p>
        </w:tc>
        <w:tc>
          <w:tcPr>
            <w:tcW w:w="3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422,909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221,582</w:t>
            </w:r>
          </w:p>
        </w:tc>
        <w:tc>
          <w:tcPr>
            <w:tcW w:w="2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422,909</w:t>
            </w:r>
          </w:p>
        </w:tc>
        <w:tc>
          <w:tcPr>
            <w:tcW w:w="40" w:type="dxa"/>
            <w:vAlign w:val="bottom"/>
          </w:tcPr>
          <w:p>
            <w:pPr>
              <w:spacing w:after="0"/>
              <w:rPr>
                <w:sz w:val="13"/>
                <w:szCs w:val="13"/>
                <w:color w:val="auto"/>
              </w:rPr>
            </w:pPr>
          </w:p>
        </w:tc>
      </w:tr>
      <w:tr>
        <w:trPr>
          <w:trHeight w:val="20"/>
        </w:trPr>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BSAs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BSAs as well as the assumptions used for the measurement thereof in accordance with IFRS 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MAXIMUM</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NUMBER OF</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4"/>
              </w:rPr>
              <w:t>SHARES TO</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5"/>
              </w:rPr>
              <w:t>BE ISSUED</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1"/>
              </w:rPr>
              <w:t>BCAs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8"/>
              </w:rPr>
              <w:t>NUMBER</w:t>
            </w:r>
          </w:p>
        </w:tc>
        <w:tc>
          <w:tcPr>
            <w:tcW w:w="40" w:type="dxa"/>
            <w:vAlign w:val="bottom"/>
          </w:tcPr>
          <w:p>
            <w:pPr>
              <w:spacing w:after="0"/>
              <w:rPr>
                <w:sz w:val="11"/>
                <w:szCs w:val="11"/>
                <w:color w:val="auto"/>
              </w:rPr>
            </w:pPr>
          </w:p>
        </w:tc>
        <w:tc>
          <w:tcPr>
            <w:tcW w:w="1000" w:type="dxa"/>
            <w:vAlign w:val="bottom"/>
            <w:gridSpan w:val="5"/>
          </w:tcPr>
          <w:p>
            <w:pPr>
              <w:jc w:val="center"/>
              <w:ind w:right="260"/>
              <w:spacing w:after="0" w:line="135"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90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NUMBER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6"/>
              </w:rPr>
              <w:t>NUMBER OF</w:t>
            </w:r>
          </w:p>
        </w:tc>
        <w:tc>
          <w:tcPr>
            <w:tcW w:w="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rPr>
              <w:t>IF ALL</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7"/>
              </w:rPr>
              <w:t>OUTSTANDING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OF LAPSED</w:t>
            </w:r>
          </w:p>
        </w:tc>
        <w:tc>
          <w:tcPr>
            <w:tcW w:w="40" w:type="dxa"/>
            <w:vAlign w:val="bottom"/>
          </w:tcPr>
          <w:p>
            <w:pPr>
              <w:spacing w:after="0"/>
              <w:rPr>
                <w:sz w:val="11"/>
                <w:szCs w:val="11"/>
                <w:color w:val="auto"/>
              </w:rPr>
            </w:pPr>
          </w:p>
        </w:tc>
        <w:tc>
          <w:tcPr>
            <w:tcW w:w="1000" w:type="dxa"/>
            <w:vAlign w:val="bottom"/>
            <w:gridSpan w:val="5"/>
          </w:tcPr>
          <w:p>
            <w:pPr>
              <w:jc w:val="center"/>
              <w:ind w:right="280"/>
              <w:spacing w:after="0" w:line="135" w:lineRule="exact"/>
              <w:rPr>
                <w:sz w:val="20"/>
                <w:szCs w:val="20"/>
                <w:color w:val="auto"/>
              </w:rPr>
            </w:pPr>
            <w:r>
              <w:rPr>
                <w:rFonts w:ascii="Arial" w:cs="Arial" w:eastAsia="Arial" w:hAnsi="Arial"/>
                <w:sz w:val="12"/>
                <w:szCs w:val="12"/>
                <w:b w:val="1"/>
                <w:bCs w:val="1"/>
                <w:color w:val="auto"/>
                <w:w w:val="97"/>
              </w:rPr>
              <w:t>EXERCISED</w:t>
            </w:r>
          </w:p>
        </w:tc>
        <w:tc>
          <w:tcPr>
            <w:tcW w:w="40" w:type="dxa"/>
            <w:vAlign w:val="bottom"/>
          </w:tcPr>
          <w:p>
            <w:pPr>
              <w:spacing w:after="0"/>
              <w:rPr>
                <w:sz w:val="11"/>
                <w:szCs w:val="11"/>
                <w:color w:val="auto"/>
              </w:rPr>
            </w:pPr>
          </w:p>
        </w:tc>
        <w:tc>
          <w:tcPr>
            <w:tcW w:w="90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87"/>
              </w:rPr>
              <w:t>BSAs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BSAs</w:t>
            </w:r>
          </w:p>
        </w:tc>
        <w:tc>
          <w:tcPr>
            <w:tcW w:w="20" w:type="dxa"/>
            <w:vAlign w:val="bottom"/>
          </w:tcPr>
          <w:p>
            <w:pPr>
              <w:spacing w:after="0"/>
              <w:rPr>
                <w:sz w:val="11"/>
                <w:szCs w:val="11"/>
                <w:color w:val="auto"/>
              </w:rPr>
            </w:pPr>
          </w:p>
        </w:tc>
        <w:tc>
          <w:tcPr>
            <w:tcW w:w="800" w:type="dxa"/>
            <w:vAlign w:val="bottom"/>
            <w:gridSpan w:val="3"/>
          </w:tcPr>
          <w:p>
            <w:pPr>
              <w:jc w:val="center"/>
              <w:ind w:right="40"/>
              <w:spacing w:after="0" w:line="135" w:lineRule="exact"/>
              <w:rPr>
                <w:sz w:val="20"/>
                <w:szCs w:val="20"/>
                <w:color w:val="auto"/>
              </w:rPr>
            </w:pPr>
            <w:r>
              <w:rPr>
                <w:rFonts w:ascii="Arial" w:cs="Arial" w:eastAsia="Arial" w:hAnsi="Arial"/>
                <w:sz w:val="12"/>
                <w:szCs w:val="12"/>
                <w:b w:val="1"/>
                <w:bCs w:val="1"/>
                <w:color w:val="auto"/>
              </w:rPr>
              <w:t>CONDITIONS</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2"/>
              </w:rPr>
              <w:t>AS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1"/>
              </w:rPr>
              <w:t>BSAs</w:t>
            </w:r>
          </w:p>
        </w:tc>
        <w:tc>
          <w:tcPr>
            <w:tcW w:w="40" w:type="dxa"/>
            <w:vAlign w:val="bottom"/>
          </w:tcPr>
          <w:p>
            <w:pPr>
              <w:spacing w:after="0"/>
              <w:rPr>
                <w:sz w:val="11"/>
                <w:szCs w:val="11"/>
                <w:color w:val="auto"/>
              </w:rPr>
            </w:pPr>
          </w:p>
        </w:tc>
        <w:tc>
          <w:tcPr>
            <w:tcW w:w="1000" w:type="dxa"/>
            <w:vAlign w:val="bottom"/>
            <w:gridSpan w:val="5"/>
          </w:tcPr>
          <w:p>
            <w:pPr>
              <w:jc w:val="center"/>
              <w:ind w:right="280"/>
              <w:spacing w:after="0" w:line="135" w:lineRule="exact"/>
              <w:rPr>
                <w:sz w:val="20"/>
                <w:szCs w:val="20"/>
                <w:color w:val="auto"/>
              </w:rPr>
            </w:pPr>
            <w:r>
              <w:rPr>
                <w:rFonts w:ascii="Arial" w:cs="Arial" w:eastAsia="Arial" w:hAnsi="Arial"/>
                <w:sz w:val="12"/>
                <w:szCs w:val="12"/>
                <w:b w:val="1"/>
                <w:bCs w:val="1"/>
                <w:color w:val="auto"/>
                <w:w w:val="87"/>
              </w:rPr>
              <w:t>BSAs</w:t>
            </w:r>
          </w:p>
        </w:tc>
        <w:tc>
          <w:tcPr>
            <w:tcW w:w="40" w:type="dxa"/>
            <w:vAlign w:val="bottom"/>
          </w:tcPr>
          <w:p>
            <w:pPr>
              <w:spacing w:after="0"/>
              <w:rPr>
                <w:sz w:val="11"/>
                <w:szCs w:val="11"/>
                <w:color w:val="auto"/>
              </w:rPr>
            </w:pPr>
          </w:p>
        </w:tc>
        <w:tc>
          <w:tcPr>
            <w:tcW w:w="90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OUTSTANDING</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EXERCISABLE</w:t>
            </w:r>
          </w:p>
        </w:tc>
        <w:tc>
          <w:tcPr>
            <w:tcW w:w="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ARE MET</w:t>
            </w:r>
          </w:p>
        </w:tc>
      </w:tr>
      <w:tr>
        <w:trPr>
          <w:trHeight w:val="135"/>
        </w:trPr>
        <w:tc>
          <w:tcPr>
            <w:tcW w:w="2440" w:type="dxa"/>
            <w:vAlign w:val="bottom"/>
          </w:tcPr>
          <w:p>
            <w:pPr>
              <w:jc w:val="center"/>
              <w:ind w:left="471"/>
              <w:spacing w:after="0" w:line="135" w:lineRule="exact"/>
              <w:rPr>
                <w:sz w:val="20"/>
                <w:szCs w:val="20"/>
                <w:color w:val="auto"/>
              </w:rPr>
            </w:pPr>
            <w:r>
              <w:rPr>
                <w:rFonts w:ascii="Arial" w:cs="Arial" w:eastAsia="Arial" w:hAnsi="Arial"/>
                <w:sz w:val="12"/>
                <w:szCs w:val="12"/>
                <w:b w:val="1"/>
                <w:bCs w:val="1"/>
                <w:color w:val="auto"/>
                <w:w w:val="98"/>
              </w:rPr>
              <w:t>GRANT</w:t>
            </w: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Arial" w:cs="Arial" w:eastAsia="Arial" w:hAnsi="Arial"/>
                <w:sz w:val="12"/>
                <w:szCs w:val="12"/>
                <w:b w:val="1"/>
                <w:bCs w:val="1"/>
                <w:color w:val="auto"/>
                <w:w w:val="92"/>
              </w:rPr>
              <w:t>OF BSAs</w:t>
            </w:r>
          </w:p>
        </w:tc>
        <w:tc>
          <w:tcPr>
            <w:tcW w:w="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2"/>
              </w:rPr>
              <w:t>JANUARY 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9"/>
          </w:tcPr>
          <w:p>
            <w:pPr>
              <w:jc w:val="right"/>
              <w:ind w:right="320"/>
              <w:spacing w:after="0" w:line="135" w:lineRule="exact"/>
              <w:rPr>
                <w:sz w:val="20"/>
                <w:szCs w:val="20"/>
                <w:color w:val="auto"/>
              </w:rPr>
            </w:pPr>
            <w:r>
              <w:rPr>
                <w:rFonts w:ascii="Arial" w:cs="Arial" w:eastAsia="Arial" w:hAnsi="Arial"/>
                <w:sz w:val="12"/>
                <w:szCs w:val="12"/>
                <w:b w:val="1"/>
                <w:bCs w:val="1"/>
                <w:color w:val="auto"/>
                <w:w w:val="96"/>
              </w:rPr>
              <w:t>FOR THE PERIOD ENDED</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3"/>
        </w:trPr>
        <w:tc>
          <w:tcPr>
            <w:tcW w:w="2440" w:type="dxa"/>
            <w:vAlign w:val="bottom"/>
          </w:tcPr>
          <w:p>
            <w:pPr>
              <w:jc w:val="center"/>
              <w:ind w:left="491"/>
              <w:spacing w:after="0"/>
              <w:rPr>
                <w:sz w:val="20"/>
                <w:szCs w:val="20"/>
                <w:color w:val="auto"/>
              </w:rPr>
            </w:pPr>
            <w:r>
              <w:rPr>
                <w:rFonts w:ascii="Arial" w:cs="Arial" w:eastAsia="Arial" w:hAnsi="Arial"/>
                <w:sz w:val="12"/>
                <w:szCs w:val="12"/>
                <w:b w:val="1"/>
                <w:bCs w:val="1"/>
                <w:color w:val="auto"/>
                <w:w w:val="97"/>
              </w:rPr>
              <w:t>DATE</w:t>
            </w:r>
          </w:p>
        </w:tc>
        <w:tc>
          <w:tcPr>
            <w:tcW w:w="1760" w:type="dxa"/>
            <w:vAlign w:val="bottom"/>
          </w:tcPr>
          <w:p>
            <w:pPr>
              <w:ind w:left="1020"/>
              <w:spacing w:after="0"/>
              <w:rPr>
                <w:sz w:val="20"/>
                <w:szCs w:val="20"/>
                <w:color w:val="auto"/>
              </w:rPr>
            </w:pPr>
            <w:r>
              <w:rPr>
                <w:rFonts w:ascii="Arial" w:cs="Arial" w:eastAsia="Arial" w:hAnsi="Arial"/>
                <w:sz w:val="12"/>
                <w:szCs w:val="12"/>
                <w:b w:val="1"/>
                <w:bCs w:val="1"/>
                <w:color w:val="auto"/>
              </w:rPr>
              <w:t>TYPE</w:t>
            </w:r>
          </w:p>
        </w:tc>
        <w:tc>
          <w:tcPr>
            <w:tcW w:w="4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8"/>
              </w:rPr>
              <w:t>ISSUED</w:t>
            </w: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bottom w:val="single" w:sz="8" w:color="auto"/>
            </w:tcBorders>
            <w:gridSpan w:val="7"/>
          </w:tcPr>
          <w:p>
            <w:pPr>
              <w:ind w:left="340"/>
              <w:spacing w:after="0"/>
              <w:rPr>
                <w:sz w:val="20"/>
                <w:szCs w:val="20"/>
                <w:color w:val="auto"/>
              </w:rPr>
            </w:pPr>
            <w:r>
              <w:rPr>
                <w:rFonts w:ascii="Arial" w:cs="Arial" w:eastAsia="Arial" w:hAnsi="Arial"/>
                <w:sz w:val="12"/>
                <w:szCs w:val="12"/>
                <w:b w:val="1"/>
                <w:bCs w:val="1"/>
                <w:color w:val="auto"/>
              </w:rPr>
              <w:t>JUNE 30, 2022</w:t>
            </w:r>
          </w:p>
        </w:tc>
        <w:tc>
          <w:tcPr>
            <w:tcW w:w="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5"/>
          </w:tcPr>
          <w:p>
            <w:pPr>
              <w:ind w:left="40"/>
              <w:spacing w:after="0"/>
              <w:rPr>
                <w:sz w:val="20"/>
                <w:szCs w:val="20"/>
                <w:color w:val="auto"/>
              </w:rPr>
            </w:pPr>
            <w:r>
              <w:rPr>
                <w:rFonts w:ascii="Arial" w:cs="Arial" w:eastAsia="Arial" w:hAnsi="Arial"/>
                <w:sz w:val="12"/>
                <w:szCs w:val="12"/>
                <w:b w:val="1"/>
                <w:bCs w:val="1"/>
                <w:color w:val="auto"/>
              </w:rPr>
              <w:t>AS OF JUNE 30, 2022</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5"/>
        </w:trPr>
        <w:tc>
          <w:tcPr>
            <w:tcW w:w="2440" w:type="dxa"/>
            <w:vAlign w:val="bottom"/>
            <w:tcBorders>
              <w:top w:val="single" w:sz="8" w:color="CCEEFF"/>
            </w:tcBorders>
            <w:shd w:val="clear" w:color="auto" w:fill="CCEEFF"/>
          </w:tcPr>
          <w:p>
            <w:pPr>
              <w:jc w:val="right"/>
              <w:ind w:right="1711"/>
              <w:spacing w:after="0" w:line="135" w:lineRule="exact"/>
              <w:rPr>
                <w:sz w:val="20"/>
                <w:szCs w:val="20"/>
                <w:color w:val="auto"/>
              </w:rPr>
            </w:pPr>
            <w:r>
              <w:rPr>
                <w:rFonts w:ascii="Arial" w:cs="Arial" w:eastAsia="Arial" w:hAnsi="Arial"/>
                <w:sz w:val="14"/>
                <w:szCs w:val="14"/>
                <w:color w:val="auto"/>
                <w:w w:val="89"/>
              </w:rPr>
              <w:t>2014-03-11</w:t>
            </w:r>
          </w:p>
        </w:tc>
        <w:tc>
          <w:tcPr>
            <w:tcW w:w="1760" w:type="dxa"/>
            <w:vAlign w:val="bottom"/>
            <w:tcBorders>
              <w:top w:val="single" w:sz="8" w:color="CCEEFF"/>
            </w:tcBorders>
            <w:shd w:val="clear" w:color="auto" w:fill="CCEEFF"/>
          </w:tcPr>
          <w:p>
            <w:pPr>
              <w:ind w:left="760"/>
              <w:spacing w:after="0" w:line="135" w:lineRule="exact"/>
              <w:rPr>
                <w:sz w:val="20"/>
                <w:szCs w:val="20"/>
                <w:color w:val="auto"/>
              </w:rPr>
            </w:pPr>
            <w:r>
              <w:rPr>
                <w:rFonts w:ascii="Arial" w:cs="Arial" w:eastAsia="Arial" w:hAnsi="Arial"/>
                <w:sz w:val="14"/>
                <w:szCs w:val="14"/>
                <w:color w:val="auto"/>
              </w:rPr>
              <w:t>BSA-2014-3</w:t>
            </w:r>
          </w:p>
        </w:tc>
        <w:tc>
          <w:tcPr>
            <w:tcW w:w="800" w:type="dxa"/>
            <w:vAlign w:val="bottom"/>
            <w:tcBorders>
              <w:top w:val="single" w:sz="8" w:color="CCEEFF"/>
            </w:tcBorders>
            <w:gridSpan w:val="4"/>
            <w:shd w:val="clear" w:color="auto" w:fill="CCEEFF"/>
          </w:tcPr>
          <w:p>
            <w:pPr>
              <w:jc w:val="right"/>
              <w:ind w:right="240"/>
              <w:spacing w:after="0" w:line="135" w:lineRule="exact"/>
              <w:rPr>
                <w:sz w:val="20"/>
                <w:szCs w:val="20"/>
                <w:color w:val="auto"/>
              </w:rPr>
            </w:pPr>
            <w:r>
              <w:rPr>
                <w:rFonts w:ascii="Arial" w:cs="Arial" w:eastAsia="Arial" w:hAnsi="Arial"/>
                <w:sz w:val="14"/>
                <w:szCs w:val="14"/>
                <w:color w:val="auto"/>
              </w:rPr>
              <w:t>1,172</w:t>
            </w:r>
          </w:p>
        </w:tc>
        <w:tc>
          <w:tcPr>
            <w:tcW w:w="1040" w:type="dxa"/>
            <w:vAlign w:val="bottom"/>
            <w:tcBorders>
              <w:top w:val="single" w:sz="8" w:color="CCEEFF"/>
            </w:tcBorders>
            <w:gridSpan w:val="4"/>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680</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gridSpan w:val="3"/>
            <w:shd w:val="clear" w:color="auto" w:fill="CCEEFF"/>
          </w:tcPr>
          <w:p>
            <w:pPr>
              <w:ind w:left="400"/>
              <w:spacing w:after="0" w:line="135" w:lineRule="exact"/>
              <w:rPr>
                <w:sz w:val="20"/>
                <w:szCs w:val="20"/>
                <w:color w:val="auto"/>
              </w:rPr>
            </w:pPr>
            <w:r>
              <w:rPr>
                <w:rFonts w:ascii="Arial" w:cs="Arial" w:eastAsia="Arial" w:hAnsi="Arial"/>
                <w:sz w:val="14"/>
                <w:szCs w:val="14"/>
                <w:color w:val="auto"/>
              </w:rPr>
              <w:t>—   </w:t>
            </w:r>
          </w:p>
        </w:tc>
        <w:tc>
          <w:tcPr>
            <w:tcW w:w="1040" w:type="dxa"/>
            <w:vAlign w:val="bottom"/>
            <w:tcBorders>
              <w:top w:val="single" w:sz="8" w:color="CCEEFF"/>
            </w:tcBorders>
            <w:gridSpan w:val="6"/>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(188)</w:t>
            </w:r>
          </w:p>
        </w:tc>
        <w:tc>
          <w:tcPr>
            <w:tcW w:w="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gridSpan w:val="3"/>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492</w:t>
            </w:r>
          </w:p>
        </w:tc>
        <w:tc>
          <w:tcPr>
            <w:tcW w:w="1320" w:type="dxa"/>
            <w:vAlign w:val="bottom"/>
            <w:tcBorders>
              <w:top w:val="single" w:sz="8" w:color="auto"/>
            </w:tcBorders>
            <w:gridSpan w:val="5"/>
            <w:shd w:val="clear" w:color="auto" w:fill="CCEEFF"/>
          </w:tcPr>
          <w:p>
            <w:pPr>
              <w:jc w:val="right"/>
              <w:ind w:right="240"/>
              <w:spacing w:after="0" w:line="135" w:lineRule="exact"/>
              <w:rPr>
                <w:sz w:val="20"/>
                <w:szCs w:val="20"/>
                <w:color w:val="auto"/>
              </w:rPr>
            </w:pPr>
            <w:r>
              <w:rPr>
                <w:rFonts w:ascii="Arial" w:cs="Arial" w:eastAsia="Arial" w:hAnsi="Arial"/>
                <w:sz w:val="14"/>
                <w:szCs w:val="14"/>
                <w:color w:val="auto"/>
              </w:rPr>
              <w:t>492</w:t>
            </w:r>
          </w:p>
        </w:tc>
        <w:tc>
          <w:tcPr>
            <w:tcW w:w="78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4"/>
                <w:szCs w:val="14"/>
                <w:color w:val="auto"/>
              </w:rPr>
              <w:t>49,200</w:t>
            </w:r>
          </w:p>
        </w:tc>
        <w:tc>
          <w:tcPr>
            <w:tcW w:w="40" w:type="dxa"/>
            <w:vAlign w:val="bottom"/>
            <w:tcBorders>
              <w:top w:val="single" w:sz="8" w:color="CCEEFF"/>
            </w:tcBorders>
            <w:shd w:val="clear" w:color="auto" w:fill="CCEEFF"/>
          </w:tcPr>
          <w:p>
            <w:pPr>
              <w:spacing w:after="0"/>
              <w:rPr>
                <w:sz w:val="11"/>
                <w:szCs w:val="11"/>
                <w:color w:val="auto"/>
              </w:rPr>
            </w:pPr>
          </w:p>
        </w:tc>
      </w:tr>
      <w:tr>
        <w:trPr>
          <w:trHeight w:val="148"/>
        </w:trPr>
        <w:tc>
          <w:tcPr>
            <w:tcW w:w="2440" w:type="dxa"/>
            <w:vAlign w:val="bottom"/>
          </w:tcPr>
          <w:p>
            <w:pPr>
              <w:jc w:val="right"/>
              <w:ind w:right="1711"/>
              <w:spacing w:after="0" w:line="149" w:lineRule="exact"/>
              <w:rPr>
                <w:sz w:val="20"/>
                <w:szCs w:val="20"/>
                <w:color w:val="auto"/>
              </w:rPr>
            </w:pPr>
            <w:r>
              <w:rPr>
                <w:rFonts w:ascii="Arial" w:cs="Arial" w:eastAsia="Arial" w:hAnsi="Arial"/>
                <w:sz w:val="14"/>
                <w:szCs w:val="14"/>
                <w:color w:val="auto"/>
                <w:w w:val="89"/>
              </w:rPr>
              <w:t>2015-12-04</w:t>
            </w:r>
          </w:p>
        </w:tc>
        <w:tc>
          <w:tcPr>
            <w:tcW w:w="1760" w:type="dxa"/>
            <w:vAlign w:val="bottom"/>
          </w:tcPr>
          <w:p>
            <w:pPr>
              <w:ind w:left="760"/>
              <w:spacing w:after="0" w:line="149" w:lineRule="exact"/>
              <w:rPr>
                <w:sz w:val="20"/>
                <w:szCs w:val="20"/>
                <w:color w:val="auto"/>
              </w:rPr>
            </w:pPr>
            <w:r>
              <w:rPr>
                <w:rFonts w:ascii="Arial" w:cs="Arial" w:eastAsia="Arial" w:hAnsi="Arial"/>
                <w:sz w:val="14"/>
                <w:szCs w:val="14"/>
                <w:color w:val="auto"/>
              </w:rPr>
              <w:t>BSA-2015-11</w:t>
            </w:r>
          </w:p>
        </w:tc>
        <w:tc>
          <w:tcPr>
            <w:tcW w:w="80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96,924</w:t>
            </w:r>
          </w:p>
        </w:tc>
        <w:tc>
          <w:tcPr>
            <w:tcW w:w="10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96,924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2"/>
                <w:szCs w:val="12"/>
                <w:color w:val="auto"/>
              </w:rPr>
            </w:pPr>
          </w:p>
        </w:tc>
        <w:tc>
          <w:tcPr>
            <w:tcW w:w="100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132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96,924</w:t>
            </w:r>
          </w:p>
        </w:tc>
        <w:tc>
          <w:tcPr>
            <w:tcW w:w="8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96,924</w:t>
            </w:r>
          </w:p>
        </w:tc>
      </w:tr>
      <w:tr>
        <w:trPr>
          <w:trHeight w:val="149"/>
        </w:trPr>
        <w:tc>
          <w:tcPr>
            <w:tcW w:w="2440" w:type="dxa"/>
            <w:vAlign w:val="bottom"/>
            <w:shd w:val="clear" w:color="auto" w:fill="CCEEFF"/>
          </w:tcPr>
          <w:p>
            <w:pPr>
              <w:jc w:val="right"/>
              <w:ind w:right="1711"/>
              <w:spacing w:after="0" w:line="149" w:lineRule="exact"/>
              <w:rPr>
                <w:sz w:val="20"/>
                <w:szCs w:val="20"/>
                <w:color w:val="auto"/>
              </w:rPr>
            </w:pPr>
            <w:r>
              <w:rPr>
                <w:rFonts w:ascii="Arial" w:cs="Arial" w:eastAsia="Arial" w:hAnsi="Arial"/>
                <w:sz w:val="14"/>
                <w:szCs w:val="14"/>
                <w:color w:val="auto"/>
                <w:w w:val="89"/>
              </w:rPr>
              <w:t>2015-12-04</w:t>
            </w:r>
          </w:p>
        </w:tc>
        <w:tc>
          <w:tcPr>
            <w:tcW w:w="176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BSA-2015-12</w:t>
            </w:r>
          </w:p>
        </w:tc>
        <w:tc>
          <w:tcPr>
            <w:tcW w:w="80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82,000</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32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16,400</w:t>
            </w:r>
          </w:p>
        </w:tc>
        <w:tc>
          <w:tcPr>
            <w:tcW w:w="8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2440" w:type="dxa"/>
            <w:vAlign w:val="bottom"/>
          </w:tcPr>
          <w:p>
            <w:pPr>
              <w:jc w:val="right"/>
              <w:ind w:right="1711"/>
              <w:spacing w:after="0" w:line="149" w:lineRule="exact"/>
              <w:rPr>
                <w:sz w:val="20"/>
                <w:szCs w:val="20"/>
                <w:color w:val="auto"/>
              </w:rPr>
            </w:pPr>
            <w:r>
              <w:rPr>
                <w:rFonts w:ascii="Arial" w:cs="Arial" w:eastAsia="Arial" w:hAnsi="Arial"/>
                <w:sz w:val="14"/>
                <w:szCs w:val="14"/>
                <w:color w:val="auto"/>
                <w:w w:val="89"/>
              </w:rPr>
              <w:t>2017-09-18</w:t>
            </w:r>
          </w:p>
        </w:tc>
        <w:tc>
          <w:tcPr>
            <w:tcW w:w="1760" w:type="dxa"/>
            <w:vAlign w:val="bottom"/>
          </w:tcPr>
          <w:p>
            <w:pPr>
              <w:ind w:left="760"/>
              <w:spacing w:after="0" w:line="149" w:lineRule="exact"/>
              <w:rPr>
                <w:sz w:val="20"/>
                <w:szCs w:val="20"/>
                <w:color w:val="auto"/>
              </w:rPr>
            </w:pPr>
            <w:r>
              <w:rPr>
                <w:rFonts w:ascii="Arial" w:cs="Arial" w:eastAsia="Arial" w:hAnsi="Arial"/>
                <w:sz w:val="14"/>
                <w:szCs w:val="14"/>
                <w:color w:val="auto"/>
              </w:rPr>
              <w:t>BSA-2017-1</w:t>
            </w:r>
          </w:p>
        </w:tc>
        <w:tc>
          <w:tcPr>
            <w:tcW w:w="80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16,400</w:t>
            </w:r>
          </w:p>
        </w:tc>
        <w:tc>
          <w:tcPr>
            <w:tcW w:w="10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16,400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2"/>
                <w:szCs w:val="12"/>
                <w:color w:val="auto"/>
              </w:rPr>
            </w:pPr>
          </w:p>
        </w:tc>
        <w:tc>
          <w:tcPr>
            <w:tcW w:w="100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32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16,400</w:t>
            </w:r>
          </w:p>
        </w:tc>
        <w:tc>
          <w:tcPr>
            <w:tcW w:w="8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2440" w:type="dxa"/>
            <w:vAlign w:val="bottom"/>
            <w:shd w:val="clear" w:color="auto" w:fill="CCEEFF"/>
          </w:tcPr>
          <w:p>
            <w:pPr>
              <w:jc w:val="right"/>
              <w:ind w:right="1711"/>
              <w:spacing w:after="0" w:line="149" w:lineRule="exact"/>
              <w:rPr>
                <w:sz w:val="20"/>
                <w:szCs w:val="20"/>
                <w:color w:val="auto"/>
              </w:rPr>
            </w:pPr>
            <w:r>
              <w:rPr>
                <w:rFonts w:ascii="Arial" w:cs="Arial" w:eastAsia="Arial" w:hAnsi="Arial"/>
                <w:sz w:val="14"/>
                <w:szCs w:val="14"/>
                <w:color w:val="auto"/>
                <w:w w:val="89"/>
              </w:rPr>
              <w:t>2018-01-22</w:t>
            </w:r>
          </w:p>
        </w:tc>
        <w:tc>
          <w:tcPr>
            <w:tcW w:w="176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BSA-2018-1</w:t>
            </w:r>
          </w:p>
        </w:tc>
        <w:tc>
          <w:tcPr>
            <w:tcW w:w="80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49,200</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32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16,400</w:t>
            </w:r>
          </w:p>
        </w:tc>
        <w:tc>
          <w:tcPr>
            <w:tcW w:w="8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2440" w:type="dxa"/>
            <w:vAlign w:val="bottom"/>
          </w:tcPr>
          <w:p>
            <w:pPr>
              <w:jc w:val="right"/>
              <w:ind w:right="1711"/>
              <w:spacing w:after="0" w:line="149" w:lineRule="exact"/>
              <w:rPr>
                <w:sz w:val="20"/>
                <w:szCs w:val="20"/>
                <w:color w:val="auto"/>
              </w:rPr>
            </w:pPr>
            <w:r>
              <w:rPr>
                <w:rFonts w:ascii="Arial" w:cs="Arial" w:eastAsia="Arial" w:hAnsi="Arial"/>
                <w:sz w:val="14"/>
                <w:szCs w:val="14"/>
                <w:color w:val="auto"/>
                <w:w w:val="89"/>
              </w:rPr>
              <w:t>2014-03-11</w:t>
            </w:r>
          </w:p>
        </w:tc>
        <w:tc>
          <w:tcPr>
            <w:tcW w:w="1760" w:type="dxa"/>
            <w:vAlign w:val="bottom"/>
          </w:tcPr>
          <w:p>
            <w:pPr>
              <w:ind w:left="760"/>
              <w:spacing w:after="0" w:line="149" w:lineRule="exact"/>
              <w:rPr>
                <w:sz w:val="20"/>
                <w:szCs w:val="20"/>
                <w:color w:val="auto"/>
              </w:rPr>
            </w:pPr>
            <w:r>
              <w:rPr>
                <w:rFonts w:ascii="Arial" w:cs="Arial" w:eastAsia="Arial" w:hAnsi="Arial"/>
                <w:sz w:val="14"/>
                <w:szCs w:val="14"/>
                <w:color w:val="auto"/>
              </w:rPr>
              <w:t>BSA-2014-4</w:t>
            </w:r>
          </w:p>
        </w:tc>
        <w:tc>
          <w:tcPr>
            <w:tcW w:w="80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1,315</w:t>
            </w:r>
          </w:p>
        </w:tc>
        <w:tc>
          <w:tcPr>
            <w:tcW w:w="10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842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2"/>
                <w:szCs w:val="12"/>
                <w:color w:val="auto"/>
              </w:rPr>
            </w:pPr>
          </w:p>
        </w:tc>
        <w:tc>
          <w:tcPr>
            <w:tcW w:w="100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842</w:t>
            </w:r>
          </w:p>
        </w:tc>
        <w:tc>
          <w:tcPr>
            <w:tcW w:w="132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842</w:t>
            </w:r>
          </w:p>
        </w:tc>
        <w:tc>
          <w:tcPr>
            <w:tcW w:w="8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84,160</w:t>
            </w:r>
          </w:p>
        </w:tc>
      </w:tr>
      <w:tr>
        <w:trPr>
          <w:trHeight w:val="148"/>
        </w:trPr>
        <w:tc>
          <w:tcPr>
            <w:tcW w:w="2440" w:type="dxa"/>
            <w:vAlign w:val="bottom"/>
            <w:shd w:val="clear" w:color="auto" w:fill="CCEEFF"/>
          </w:tcPr>
          <w:p>
            <w:pPr>
              <w:jc w:val="right"/>
              <w:ind w:right="1711"/>
              <w:spacing w:after="0" w:line="149" w:lineRule="exact"/>
              <w:rPr>
                <w:sz w:val="20"/>
                <w:szCs w:val="20"/>
                <w:color w:val="auto"/>
              </w:rPr>
            </w:pPr>
            <w:r>
              <w:rPr>
                <w:rFonts w:ascii="Arial" w:cs="Arial" w:eastAsia="Arial" w:hAnsi="Arial"/>
                <w:sz w:val="14"/>
                <w:szCs w:val="14"/>
                <w:color w:val="auto"/>
                <w:w w:val="89"/>
              </w:rPr>
              <w:t>2014-03-11</w:t>
            </w:r>
          </w:p>
        </w:tc>
        <w:tc>
          <w:tcPr>
            <w:tcW w:w="176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BSA-2014-5</w:t>
            </w:r>
          </w:p>
        </w:tc>
        <w:tc>
          <w:tcPr>
            <w:tcW w:w="80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787</w:t>
            </w:r>
          </w:p>
        </w:tc>
        <w:tc>
          <w:tcPr>
            <w:tcW w:w="10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459</w:t>
            </w:r>
          </w:p>
        </w:tc>
        <w:tc>
          <w:tcPr>
            <w:tcW w:w="132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w:t>
            </w:r>
          </w:p>
        </w:tc>
        <w:tc>
          <w:tcPr>
            <w:tcW w:w="8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45,900</w:t>
            </w:r>
          </w:p>
        </w:tc>
      </w:tr>
      <w:tr>
        <w:trPr>
          <w:trHeight w:val="156"/>
        </w:trPr>
        <w:tc>
          <w:tcPr>
            <w:tcW w:w="2440" w:type="dxa"/>
            <w:vAlign w:val="bottom"/>
          </w:tcPr>
          <w:p>
            <w:pPr>
              <w:spacing w:after="0"/>
              <w:rPr>
                <w:sz w:val="13"/>
                <w:szCs w:val="13"/>
                <w:color w:val="auto"/>
              </w:rPr>
            </w:pPr>
          </w:p>
        </w:tc>
        <w:tc>
          <w:tcPr>
            <w:tcW w:w="1760" w:type="dxa"/>
            <w:vAlign w:val="bottom"/>
          </w:tcPr>
          <w:p>
            <w:pPr>
              <w:ind w:left="760"/>
              <w:spacing w:after="0" w:line="155" w:lineRule="exact"/>
              <w:rPr>
                <w:sz w:val="20"/>
                <w:szCs w:val="20"/>
                <w:color w:val="auto"/>
              </w:rPr>
            </w:pPr>
            <w:r>
              <w:rPr>
                <w:rFonts w:ascii="Arial" w:cs="Arial" w:eastAsia="Arial" w:hAnsi="Arial"/>
                <w:sz w:val="14"/>
                <w:szCs w:val="14"/>
                <w:b w:val="1"/>
                <w:bCs w:val="1"/>
                <w:color w:val="auto"/>
              </w:rPr>
              <w:t>Total BSAs</w:t>
            </w:r>
          </w:p>
        </w:tc>
        <w:tc>
          <w:tcPr>
            <w:tcW w:w="40" w:type="dxa"/>
            <w:vAlign w:val="bottom"/>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247,798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148,105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ind w:left="400"/>
              <w:spacing w:after="0" w:line="155" w:lineRule="exact"/>
              <w:rPr>
                <w:sz w:val="20"/>
                <w:szCs w:val="20"/>
                <w:color w:val="auto"/>
              </w:rPr>
            </w:pPr>
            <w:r>
              <w:rPr>
                <w:rFonts w:ascii="Arial" w:cs="Arial" w:eastAsia="Arial" w:hAnsi="Arial"/>
                <w:sz w:val="14"/>
                <w:szCs w:val="14"/>
                <w:b w:val="1"/>
                <w:bCs w:val="1"/>
                <w:color w:val="auto"/>
                <w:w w:val="80"/>
              </w:rPr>
              <w:t>—  </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(188)</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147,917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147,917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325,384</w:t>
            </w:r>
          </w:p>
        </w:tc>
        <w:tc>
          <w:tcPr>
            <w:tcW w:w="40" w:type="dxa"/>
            <w:vAlign w:val="bottom"/>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4"/>
        </w:trPr>
        <w:tc>
          <w:tcPr>
            <w:tcW w:w="2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MAXIMUM</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9"/>
              </w:rPr>
              <w:t>NUMBER OF</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TO</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BE ISSUED</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85"/>
              </w:rPr>
              <w:t>BCAs</w:t>
            </w:r>
          </w:p>
        </w:tc>
        <w:tc>
          <w:tcPr>
            <w:tcW w:w="60" w:type="dxa"/>
            <w:vAlign w:val="bottom"/>
          </w:tcPr>
          <w:p>
            <w:pPr>
              <w:spacing w:after="0"/>
              <w:rPr>
                <w:sz w:val="11"/>
                <w:szCs w:val="11"/>
                <w:color w:val="auto"/>
              </w:rPr>
            </w:pPr>
          </w:p>
        </w:tc>
        <w:tc>
          <w:tcPr>
            <w:tcW w:w="800" w:type="dxa"/>
            <w:vAlign w:val="bottom"/>
            <w:gridSpan w:val="5"/>
          </w:tcPr>
          <w:p>
            <w:pPr>
              <w:jc w:val="center"/>
              <w:ind w:right="280"/>
              <w:spacing w:after="0" w:line="135" w:lineRule="exact"/>
              <w:rPr>
                <w:sz w:val="20"/>
                <w:szCs w:val="20"/>
                <w:color w:val="auto"/>
              </w:rPr>
            </w:pPr>
            <w:r>
              <w:rPr>
                <w:rFonts w:ascii="Arial" w:cs="Arial" w:eastAsia="Arial" w:hAnsi="Arial"/>
                <w:sz w:val="12"/>
                <w:szCs w:val="12"/>
                <w:b w:val="1"/>
                <w:bCs w:val="1"/>
                <w:color w:val="auto"/>
                <w:w w:val="98"/>
              </w:rPr>
              <w:t>NUMBER</w:t>
            </w:r>
          </w:p>
        </w:tc>
        <w:tc>
          <w:tcPr>
            <w:tcW w:w="1040" w:type="dxa"/>
            <w:vAlign w:val="bottom"/>
            <w:gridSpan w:val="6"/>
          </w:tcPr>
          <w:p>
            <w:pPr>
              <w:jc w:val="right"/>
              <w:ind w:right="320"/>
              <w:spacing w:after="0" w:line="135"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NUMBER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80"/>
              <w:spacing w:after="0" w:line="135" w:lineRule="exact"/>
              <w:rPr>
                <w:sz w:val="20"/>
                <w:szCs w:val="20"/>
                <w:color w:val="auto"/>
              </w:rPr>
            </w:pPr>
            <w:r>
              <w:rPr>
                <w:rFonts w:ascii="Arial" w:cs="Arial" w:eastAsia="Arial" w:hAnsi="Arial"/>
                <w:sz w:val="12"/>
                <w:szCs w:val="12"/>
                <w:b w:val="1"/>
                <w:bCs w:val="1"/>
                <w:color w:val="auto"/>
                <w:w w:val="96"/>
              </w:rPr>
              <w:t>NUMBER OF</w:t>
            </w:r>
          </w:p>
        </w:tc>
        <w:tc>
          <w:tcPr>
            <w:tcW w:w="20" w:type="dxa"/>
            <w:vAlign w:val="bottom"/>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IF ALL</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7"/>
              </w:rPr>
              <w:t>OUTSTANDING</w:t>
            </w:r>
          </w:p>
        </w:tc>
        <w:tc>
          <w:tcPr>
            <w:tcW w:w="860" w:type="dxa"/>
            <w:vAlign w:val="bottom"/>
            <w:gridSpan w:val="6"/>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OF LAPSED</w:t>
            </w:r>
          </w:p>
        </w:tc>
        <w:tc>
          <w:tcPr>
            <w:tcW w:w="1040" w:type="dxa"/>
            <w:vAlign w:val="bottom"/>
            <w:gridSpan w:val="6"/>
          </w:tcPr>
          <w:p>
            <w:pPr>
              <w:jc w:val="right"/>
              <w:ind w:right="340"/>
              <w:spacing w:after="0" w:line="135" w:lineRule="exact"/>
              <w:rPr>
                <w:sz w:val="20"/>
                <w:szCs w:val="20"/>
                <w:color w:val="auto"/>
              </w:rPr>
            </w:pPr>
            <w:r>
              <w:rPr>
                <w:rFonts w:ascii="Arial" w:cs="Arial" w:eastAsia="Arial" w:hAnsi="Arial"/>
                <w:sz w:val="12"/>
                <w:szCs w:val="12"/>
                <w:b w:val="1"/>
                <w:bCs w:val="1"/>
                <w:color w:val="auto"/>
                <w:w w:val="97"/>
              </w:rPr>
              <w:t>EXERCISED</w:t>
            </w:r>
          </w:p>
        </w:tc>
        <w:tc>
          <w:tcPr>
            <w:tcW w:w="4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7"/>
              </w:rPr>
              <w:t>BSAs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80"/>
              <w:spacing w:after="0" w:line="135" w:lineRule="exact"/>
              <w:rPr>
                <w:sz w:val="20"/>
                <w:szCs w:val="20"/>
                <w:color w:val="auto"/>
              </w:rPr>
            </w:pPr>
            <w:r>
              <w:rPr>
                <w:rFonts w:ascii="Arial" w:cs="Arial" w:eastAsia="Arial" w:hAnsi="Arial"/>
                <w:sz w:val="12"/>
                <w:szCs w:val="12"/>
                <w:b w:val="1"/>
                <w:bCs w:val="1"/>
                <w:color w:val="auto"/>
                <w:w w:val="81"/>
              </w:rPr>
              <w:t>BSAs</w:t>
            </w:r>
          </w:p>
        </w:tc>
        <w:tc>
          <w:tcPr>
            <w:tcW w:w="820" w:type="dxa"/>
            <w:vAlign w:val="bottom"/>
            <w:gridSpan w:val="4"/>
          </w:tcPr>
          <w:p>
            <w:pPr>
              <w:jc w:val="center"/>
              <w:ind w:right="60"/>
              <w:spacing w:after="0" w:line="135" w:lineRule="exact"/>
              <w:rPr>
                <w:sz w:val="20"/>
                <w:szCs w:val="20"/>
                <w:color w:val="auto"/>
              </w:rPr>
            </w:pPr>
            <w:r>
              <w:rPr>
                <w:rFonts w:ascii="Arial" w:cs="Arial" w:eastAsia="Arial" w:hAnsi="Arial"/>
                <w:sz w:val="12"/>
                <w:szCs w:val="12"/>
                <w:b w:val="1"/>
                <w:bCs w:val="1"/>
                <w:color w:val="auto"/>
              </w:rPr>
              <w:t>CONDITIONS</w:t>
            </w:r>
          </w:p>
        </w:tc>
      </w:tr>
      <w:tr>
        <w:trPr>
          <w:trHeight w:val="135"/>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0" w:type="dxa"/>
            <w:vAlign w:val="bottom"/>
            <w:gridSpan w:val="4"/>
          </w:tcPr>
          <w:p>
            <w:pPr>
              <w:jc w:val="right"/>
              <w:ind w:right="260"/>
              <w:spacing w:after="0" w:line="135" w:lineRule="exact"/>
              <w:rPr>
                <w:sz w:val="20"/>
                <w:szCs w:val="20"/>
                <w:color w:val="auto"/>
              </w:rPr>
            </w:pPr>
            <w:r>
              <w:rPr>
                <w:rFonts w:ascii="Arial" w:cs="Arial" w:eastAsia="Arial" w:hAnsi="Arial"/>
                <w:sz w:val="12"/>
                <w:szCs w:val="12"/>
                <w:b w:val="1"/>
                <w:bCs w:val="1"/>
                <w:color w:val="auto"/>
                <w:w w:val="98"/>
              </w:rPr>
              <w:t>NUMBER</w:t>
            </w:r>
          </w:p>
        </w:tc>
        <w:tc>
          <w:tcPr>
            <w:tcW w:w="2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AS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360"/>
              <w:spacing w:after="0" w:line="135" w:lineRule="exact"/>
              <w:rPr>
                <w:sz w:val="20"/>
                <w:szCs w:val="20"/>
                <w:color w:val="auto"/>
              </w:rPr>
            </w:pPr>
            <w:r>
              <w:rPr>
                <w:rFonts w:ascii="Arial" w:cs="Arial" w:eastAsia="Arial" w:hAnsi="Arial"/>
                <w:sz w:val="12"/>
                <w:szCs w:val="12"/>
                <w:b w:val="1"/>
                <w:bCs w:val="1"/>
                <w:color w:val="auto"/>
                <w:w w:val="87"/>
              </w:rPr>
              <w:t>BSAs</w:t>
            </w:r>
          </w:p>
        </w:tc>
        <w:tc>
          <w:tcPr>
            <w:tcW w:w="40" w:type="dxa"/>
            <w:vAlign w:val="bottom"/>
          </w:tcPr>
          <w:p>
            <w:pPr>
              <w:spacing w:after="0"/>
              <w:rPr>
                <w:sz w:val="11"/>
                <w:szCs w:val="11"/>
                <w:color w:val="auto"/>
              </w:rPr>
            </w:pPr>
          </w:p>
        </w:tc>
        <w:tc>
          <w:tcPr>
            <w:tcW w:w="1000" w:type="dxa"/>
            <w:vAlign w:val="bottom"/>
            <w:gridSpan w:val="5"/>
          </w:tcPr>
          <w:p>
            <w:pPr>
              <w:jc w:val="right"/>
              <w:ind w:right="540"/>
              <w:spacing w:after="0" w:line="135" w:lineRule="exact"/>
              <w:rPr>
                <w:sz w:val="20"/>
                <w:szCs w:val="20"/>
                <w:color w:val="auto"/>
              </w:rPr>
            </w:pPr>
            <w:r>
              <w:rPr>
                <w:rFonts w:ascii="Arial" w:cs="Arial" w:eastAsia="Arial" w:hAnsi="Arial"/>
                <w:sz w:val="12"/>
                <w:szCs w:val="12"/>
                <w:b w:val="1"/>
                <w:bCs w:val="1"/>
                <w:color w:val="auto"/>
              </w:rPr>
              <w:t>BSAs</w:t>
            </w:r>
          </w:p>
        </w:tc>
        <w:tc>
          <w:tcPr>
            <w:tcW w:w="940" w:type="dxa"/>
            <w:vAlign w:val="bottom"/>
            <w:gridSpan w:val="4"/>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OUTSTANDING</w:t>
            </w:r>
          </w:p>
        </w:tc>
        <w:tc>
          <w:tcPr>
            <w:tcW w:w="200" w:type="dxa"/>
            <w:vAlign w:val="bottom"/>
          </w:tcPr>
          <w:p>
            <w:pPr>
              <w:spacing w:after="0"/>
              <w:rPr>
                <w:sz w:val="11"/>
                <w:szCs w:val="11"/>
                <w:color w:val="auto"/>
              </w:rPr>
            </w:pPr>
          </w:p>
        </w:tc>
        <w:tc>
          <w:tcPr>
            <w:tcW w:w="1120" w:type="dxa"/>
            <w:vAlign w:val="bottom"/>
            <w:gridSpan w:val="4"/>
          </w:tcPr>
          <w:p>
            <w:pPr>
              <w:jc w:val="center"/>
              <w:ind w:right="280"/>
              <w:spacing w:after="0" w:line="135" w:lineRule="exact"/>
              <w:rPr>
                <w:sz w:val="20"/>
                <w:szCs w:val="20"/>
                <w:color w:val="auto"/>
              </w:rPr>
            </w:pPr>
            <w:r>
              <w:rPr>
                <w:rFonts w:ascii="Arial" w:cs="Arial" w:eastAsia="Arial" w:hAnsi="Arial"/>
                <w:sz w:val="12"/>
                <w:szCs w:val="12"/>
                <w:b w:val="1"/>
                <w:bCs w:val="1"/>
                <w:color w:val="auto"/>
                <w:w w:val="98"/>
              </w:rPr>
              <w:t>EXERCISABLE</w:t>
            </w:r>
          </w:p>
        </w:tc>
        <w:tc>
          <w:tcPr>
            <w:tcW w:w="20" w:type="dxa"/>
            <w:vAlign w:val="bottom"/>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ARE MET</w:t>
            </w:r>
          </w:p>
        </w:tc>
      </w:tr>
      <w:tr>
        <w:trPr>
          <w:trHeight w:val="135"/>
        </w:trPr>
        <w:tc>
          <w:tcPr>
            <w:tcW w:w="2440" w:type="dxa"/>
            <w:vAlign w:val="bottom"/>
          </w:tcPr>
          <w:p>
            <w:pPr>
              <w:jc w:val="center"/>
              <w:ind w:left="471"/>
              <w:spacing w:after="0" w:line="135" w:lineRule="exact"/>
              <w:rPr>
                <w:sz w:val="20"/>
                <w:szCs w:val="20"/>
                <w:color w:val="auto"/>
              </w:rPr>
            </w:pPr>
            <w:r>
              <w:rPr>
                <w:rFonts w:ascii="Arial" w:cs="Arial" w:eastAsia="Arial" w:hAnsi="Arial"/>
                <w:sz w:val="12"/>
                <w:szCs w:val="12"/>
                <w:b w:val="1"/>
                <w:bCs w:val="1"/>
                <w:color w:val="auto"/>
                <w:w w:val="98"/>
              </w:rPr>
              <w:t>GRANT</w:t>
            </w: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 BSAs</w:t>
            </w:r>
          </w:p>
        </w:tc>
        <w:tc>
          <w:tcPr>
            <w:tcW w:w="20" w:type="dxa"/>
            <w:vAlign w:val="bottom"/>
          </w:tcPr>
          <w:p>
            <w:pPr>
              <w:spacing w:after="0"/>
              <w:rPr>
                <w:sz w:val="11"/>
                <w:szCs w:val="11"/>
                <w:color w:val="auto"/>
              </w:rPr>
            </w:pPr>
          </w:p>
        </w:tc>
        <w:tc>
          <w:tcPr>
            <w:tcW w:w="102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5"/>
              </w:rPr>
              <w:t>JANUARY 1,</w:t>
            </w:r>
          </w:p>
        </w:tc>
        <w:tc>
          <w:tcPr>
            <w:tcW w:w="60" w:type="dxa"/>
            <w:vAlign w:val="bottom"/>
          </w:tcPr>
          <w:p>
            <w:pPr>
              <w:spacing w:after="0"/>
              <w:rPr>
                <w:sz w:val="11"/>
                <w:szCs w:val="11"/>
                <w:color w:val="auto"/>
              </w:rPr>
            </w:pPr>
          </w:p>
        </w:tc>
        <w:tc>
          <w:tcPr>
            <w:tcW w:w="1840" w:type="dxa"/>
            <w:vAlign w:val="bottom"/>
            <w:gridSpan w:val="11"/>
          </w:tcPr>
          <w:p>
            <w:pPr>
              <w:jc w:val="right"/>
              <w:ind w:right="400"/>
              <w:spacing w:after="0" w:line="135" w:lineRule="exact"/>
              <w:rPr>
                <w:sz w:val="20"/>
                <w:szCs w:val="20"/>
                <w:color w:val="auto"/>
              </w:rPr>
            </w:pPr>
            <w:r>
              <w:rPr>
                <w:rFonts w:ascii="Arial" w:cs="Arial" w:eastAsia="Arial" w:hAnsi="Arial"/>
                <w:sz w:val="12"/>
                <w:szCs w:val="12"/>
                <w:b w:val="1"/>
                <w:bCs w:val="1"/>
                <w:color w:val="auto"/>
                <w:w w:val="96"/>
              </w:rPr>
              <w:t>FOR THE PERIOD ENDED</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3"/>
        </w:trPr>
        <w:tc>
          <w:tcPr>
            <w:tcW w:w="2440" w:type="dxa"/>
            <w:vAlign w:val="bottom"/>
          </w:tcPr>
          <w:p>
            <w:pPr>
              <w:jc w:val="center"/>
              <w:ind w:left="451"/>
              <w:spacing w:after="0"/>
              <w:rPr>
                <w:sz w:val="20"/>
                <w:szCs w:val="20"/>
                <w:color w:val="auto"/>
              </w:rPr>
            </w:pPr>
            <w:r>
              <w:rPr>
                <w:rFonts w:ascii="Arial" w:cs="Arial" w:eastAsia="Arial" w:hAnsi="Arial"/>
                <w:sz w:val="12"/>
                <w:szCs w:val="12"/>
                <w:b w:val="1"/>
                <w:bCs w:val="1"/>
                <w:color w:val="auto"/>
                <w:w w:val="97"/>
              </w:rPr>
              <w:t>DATE</w:t>
            </w:r>
          </w:p>
        </w:tc>
        <w:tc>
          <w:tcPr>
            <w:tcW w:w="1760" w:type="dxa"/>
            <w:vAlign w:val="bottom"/>
          </w:tcPr>
          <w:p>
            <w:pPr>
              <w:ind w:left="1000"/>
              <w:spacing w:after="0"/>
              <w:rPr>
                <w:sz w:val="20"/>
                <w:szCs w:val="20"/>
                <w:color w:val="auto"/>
              </w:rPr>
            </w:pPr>
            <w:r>
              <w:rPr>
                <w:rFonts w:ascii="Arial" w:cs="Arial" w:eastAsia="Arial" w:hAnsi="Arial"/>
                <w:sz w:val="12"/>
                <w:szCs w:val="12"/>
                <w:b w:val="1"/>
                <w:bCs w:val="1"/>
                <w:color w:val="auto"/>
              </w:rPr>
              <w:t>TYPE</w:t>
            </w: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ISSUED</w:t>
            </w: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2023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ind w:left="280"/>
              <w:spacing w:after="0"/>
              <w:rPr>
                <w:sz w:val="20"/>
                <w:szCs w:val="20"/>
                <w:color w:val="auto"/>
              </w:rPr>
            </w:pPr>
            <w:r>
              <w:rPr>
                <w:rFonts w:ascii="Arial" w:cs="Arial" w:eastAsia="Arial" w:hAnsi="Arial"/>
                <w:sz w:val="12"/>
                <w:szCs w:val="12"/>
                <w:b w:val="1"/>
                <w:bCs w:val="1"/>
                <w:color w:val="auto"/>
              </w:rPr>
              <w:t>JUNE 30, 2023</w:t>
            </w:r>
          </w:p>
        </w:tc>
        <w:tc>
          <w:tcPr>
            <w:tcW w:w="3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5"/>
          </w:tcPr>
          <w:p>
            <w:pPr>
              <w:ind w:left="20"/>
              <w:spacing w:after="0"/>
              <w:rPr>
                <w:sz w:val="20"/>
                <w:szCs w:val="20"/>
                <w:color w:val="auto"/>
              </w:rPr>
            </w:pPr>
            <w:r>
              <w:rPr>
                <w:rFonts w:ascii="Arial" w:cs="Arial" w:eastAsia="Arial" w:hAnsi="Arial"/>
                <w:sz w:val="12"/>
                <w:szCs w:val="12"/>
                <w:b w:val="1"/>
                <w:bCs w:val="1"/>
                <w:color w:val="auto"/>
              </w:rPr>
              <w:t>AS OF JUNE 30, 2023</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2440" w:type="dxa"/>
            <w:vAlign w:val="bottom"/>
            <w:tcBorders>
              <w:top w:val="single" w:sz="8" w:color="CCEEFF"/>
            </w:tcBorders>
            <w:shd w:val="clear" w:color="auto" w:fill="CCEEFF"/>
          </w:tcPr>
          <w:p>
            <w:pPr>
              <w:jc w:val="right"/>
              <w:ind w:right="1711"/>
              <w:spacing w:after="0" w:line="135" w:lineRule="exact"/>
              <w:rPr>
                <w:sz w:val="20"/>
                <w:szCs w:val="20"/>
                <w:color w:val="auto"/>
              </w:rPr>
            </w:pPr>
            <w:r>
              <w:rPr>
                <w:rFonts w:ascii="Arial" w:cs="Arial" w:eastAsia="Arial" w:hAnsi="Arial"/>
                <w:sz w:val="14"/>
                <w:szCs w:val="14"/>
                <w:color w:val="auto"/>
                <w:w w:val="89"/>
              </w:rPr>
              <w:t>2014-03-11</w:t>
            </w:r>
          </w:p>
        </w:tc>
        <w:tc>
          <w:tcPr>
            <w:tcW w:w="1760" w:type="dxa"/>
            <w:vAlign w:val="bottom"/>
            <w:tcBorders>
              <w:top w:val="single" w:sz="8" w:color="CCEEFF"/>
            </w:tcBorders>
            <w:shd w:val="clear" w:color="auto" w:fill="CCEEFF"/>
          </w:tcPr>
          <w:p>
            <w:pPr>
              <w:ind w:left="740"/>
              <w:spacing w:after="0" w:line="135" w:lineRule="exact"/>
              <w:rPr>
                <w:sz w:val="20"/>
                <w:szCs w:val="20"/>
                <w:color w:val="auto"/>
              </w:rPr>
            </w:pPr>
            <w:r>
              <w:rPr>
                <w:rFonts w:ascii="Arial" w:cs="Arial" w:eastAsia="Arial" w:hAnsi="Arial"/>
                <w:sz w:val="14"/>
                <w:szCs w:val="14"/>
                <w:color w:val="auto"/>
              </w:rPr>
              <w:t>BSA-2014-3</w:t>
            </w:r>
          </w:p>
        </w:tc>
        <w:tc>
          <w:tcPr>
            <w:tcW w:w="540" w:type="dxa"/>
            <w:vAlign w:val="bottom"/>
            <w:tcBorders>
              <w:top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1,172</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gridSpan w:val="3"/>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492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gridSpan w:val="3"/>
            <w:shd w:val="clear" w:color="auto" w:fill="CCEEFF"/>
          </w:tcPr>
          <w:p>
            <w:pPr>
              <w:ind w:left="300"/>
              <w:spacing w:after="0" w:line="135" w:lineRule="exact"/>
              <w:rPr>
                <w:sz w:val="20"/>
                <w:szCs w:val="20"/>
                <w:color w:val="auto"/>
              </w:rPr>
            </w:pPr>
            <w:r>
              <w:rPr>
                <w:rFonts w:ascii="Arial" w:cs="Arial" w:eastAsia="Arial" w:hAnsi="Arial"/>
                <w:sz w:val="14"/>
                <w:szCs w:val="14"/>
                <w:color w:val="auto"/>
              </w:rPr>
              <w:t>—  </w:t>
            </w:r>
          </w:p>
        </w:tc>
        <w:tc>
          <w:tcPr>
            <w:tcW w:w="1040" w:type="dxa"/>
            <w:vAlign w:val="bottom"/>
            <w:tcBorders>
              <w:top w:val="single" w:sz="8" w:color="CCEEFF"/>
            </w:tcBorders>
            <w:gridSpan w:val="6"/>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(164)</w:t>
            </w:r>
          </w:p>
        </w:tc>
        <w:tc>
          <w:tcPr>
            <w:tcW w:w="920" w:type="dxa"/>
            <w:vAlign w:val="bottom"/>
            <w:tcBorders>
              <w:top w:val="single" w:sz="8" w:color="auto"/>
            </w:tcBorders>
            <w:gridSpan w:val="3"/>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328</w:t>
            </w:r>
          </w:p>
        </w:tc>
        <w:tc>
          <w:tcPr>
            <w:tcW w:w="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4"/>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328</w:t>
            </w:r>
          </w:p>
        </w:tc>
        <w:tc>
          <w:tcPr>
            <w:tcW w:w="2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32,800</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8"/>
        </w:trPr>
        <w:tc>
          <w:tcPr>
            <w:tcW w:w="2440" w:type="dxa"/>
            <w:vAlign w:val="bottom"/>
          </w:tcPr>
          <w:p>
            <w:pPr>
              <w:jc w:val="right"/>
              <w:ind w:right="1711"/>
              <w:spacing w:after="0" w:line="149" w:lineRule="exact"/>
              <w:rPr>
                <w:sz w:val="20"/>
                <w:szCs w:val="20"/>
                <w:color w:val="auto"/>
              </w:rPr>
            </w:pPr>
            <w:r>
              <w:rPr>
                <w:rFonts w:ascii="Arial" w:cs="Arial" w:eastAsia="Arial" w:hAnsi="Arial"/>
                <w:sz w:val="14"/>
                <w:szCs w:val="14"/>
                <w:color w:val="auto"/>
                <w:w w:val="89"/>
              </w:rPr>
              <w:t>2015-12-04</w:t>
            </w:r>
          </w:p>
        </w:tc>
        <w:tc>
          <w:tcPr>
            <w:tcW w:w="1760" w:type="dxa"/>
            <w:vAlign w:val="bottom"/>
          </w:tcPr>
          <w:p>
            <w:pPr>
              <w:ind w:left="740"/>
              <w:spacing w:after="0" w:line="149" w:lineRule="exact"/>
              <w:rPr>
                <w:sz w:val="20"/>
                <w:szCs w:val="20"/>
                <w:color w:val="auto"/>
              </w:rPr>
            </w:pPr>
            <w:r>
              <w:rPr>
                <w:rFonts w:ascii="Arial" w:cs="Arial" w:eastAsia="Arial" w:hAnsi="Arial"/>
                <w:sz w:val="14"/>
                <w:szCs w:val="14"/>
                <w:color w:val="auto"/>
              </w:rPr>
              <w:t>BSA-2015-11</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96,924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2"/>
                <w:szCs w:val="12"/>
                <w:color w:val="auto"/>
              </w:rPr>
            </w:pPr>
          </w:p>
        </w:tc>
        <w:tc>
          <w:tcPr>
            <w:tcW w:w="100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96,924</w:t>
            </w:r>
          </w:p>
        </w:tc>
        <w:tc>
          <w:tcPr>
            <w:tcW w:w="20" w:type="dxa"/>
            <w:vAlign w:val="bottom"/>
          </w:tcPr>
          <w:p>
            <w:pPr>
              <w:spacing w:after="0"/>
              <w:rPr>
                <w:sz w:val="12"/>
                <w:szCs w:val="12"/>
                <w:color w:val="auto"/>
              </w:rPr>
            </w:pPr>
          </w:p>
        </w:tc>
        <w:tc>
          <w:tcPr>
            <w:tcW w:w="10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24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40" w:type="dxa"/>
            <w:vAlign w:val="bottom"/>
          </w:tcPr>
          <w:p>
            <w:pPr>
              <w:spacing w:after="0"/>
              <w:rPr>
                <w:sz w:val="12"/>
                <w:szCs w:val="12"/>
                <w:color w:val="auto"/>
              </w:rPr>
            </w:pPr>
          </w:p>
        </w:tc>
      </w:tr>
      <w:tr>
        <w:trPr>
          <w:trHeight w:val="148"/>
        </w:trPr>
        <w:tc>
          <w:tcPr>
            <w:tcW w:w="2440" w:type="dxa"/>
            <w:vAlign w:val="bottom"/>
            <w:shd w:val="clear" w:color="auto" w:fill="CCEEFF"/>
          </w:tcPr>
          <w:p>
            <w:pPr>
              <w:jc w:val="right"/>
              <w:ind w:right="1711"/>
              <w:spacing w:after="0" w:line="149" w:lineRule="exact"/>
              <w:rPr>
                <w:sz w:val="20"/>
                <w:szCs w:val="20"/>
                <w:color w:val="auto"/>
              </w:rPr>
            </w:pPr>
            <w:r>
              <w:rPr>
                <w:rFonts w:ascii="Arial" w:cs="Arial" w:eastAsia="Arial" w:hAnsi="Arial"/>
                <w:sz w:val="14"/>
                <w:szCs w:val="14"/>
                <w:color w:val="auto"/>
                <w:w w:val="89"/>
              </w:rPr>
              <w:t>2015-12-04</w:t>
            </w:r>
          </w:p>
        </w:tc>
        <w:tc>
          <w:tcPr>
            <w:tcW w:w="176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BSA-2015-12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82,000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c>
          <w:tcPr>
            <w:tcW w:w="2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2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40" w:type="dxa"/>
            <w:vAlign w:val="bottom"/>
            <w:shd w:val="clear" w:color="auto" w:fill="CCEEFF"/>
          </w:tcPr>
          <w:p>
            <w:pPr>
              <w:spacing w:after="0"/>
              <w:rPr>
                <w:sz w:val="12"/>
                <w:szCs w:val="12"/>
                <w:color w:val="auto"/>
              </w:rPr>
            </w:pPr>
          </w:p>
        </w:tc>
      </w:tr>
      <w:tr>
        <w:trPr>
          <w:trHeight w:val="148"/>
        </w:trPr>
        <w:tc>
          <w:tcPr>
            <w:tcW w:w="2440" w:type="dxa"/>
            <w:vAlign w:val="bottom"/>
          </w:tcPr>
          <w:p>
            <w:pPr>
              <w:jc w:val="right"/>
              <w:ind w:right="1711"/>
              <w:spacing w:after="0" w:line="149" w:lineRule="exact"/>
              <w:rPr>
                <w:sz w:val="20"/>
                <w:szCs w:val="20"/>
                <w:color w:val="auto"/>
              </w:rPr>
            </w:pPr>
            <w:r>
              <w:rPr>
                <w:rFonts w:ascii="Arial" w:cs="Arial" w:eastAsia="Arial" w:hAnsi="Arial"/>
                <w:sz w:val="14"/>
                <w:szCs w:val="14"/>
                <w:color w:val="auto"/>
                <w:w w:val="89"/>
              </w:rPr>
              <w:t>2017-09-18</w:t>
            </w:r>
          </w:p>
        </w:tc>
        <w:tc>
          <w:tcPr>
            <w:tcW w:w="1760" w:type="dxa"/>
            <w:vAlign w:val="bottom"/>
          </w:tcPr>
          <w:p>
            <w:pPr>
              <w:ind w:left="740"/>
              <w:spacing w:after="0" w:line="149" w:lineRule="exact"/>
              <w:rPr>
                <w:sz w:val="20"/>
                <w:szCs w:val="20"/>
                <w:color w:val="auto"/>
              </w:rPr>
            </w:pPr>
            <w:r>
              <w:rPr>
                <w:rFonts w:ascii="Arial" w:cs="Arial" w:eastAsia="Arial" w:hAnsi="Arial"/>
                <w:sz w:val="14"/>
                <w:szCs w:val="14"/>
                <w:color w:val="auto"/>
              </w:rPr>
              <w:t>BSA-2017-1</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2"/>
                <w:szCs w:val="12"/>
                <w:color w:val="auto"/>
              </w:rPr>
            </w:pPr>
          </w:p>
        </w:tc>
        <w:tc>
          <w:tcPr>
            <w:tcW w:w="100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16,400</w:t>
            </w:r>
          </w:p>
        </w:tc>
        <w:tc>
          <w:tcPr>
            <w:tcW w:w="20" w:type="dxa"/>
            <w:vAlign w:val="bottom"/>
          </w:tcPr>
          <w:p>
            <w:pPr>
              <w:spacing w:after="0"/>
              <w:rPr>
                <w:sz w:val="12"/>
                <w:szCs w:val="12"/>
                <w:color w:val="auto"/>
              </w:rPr>
            </w:pPr>
          </w:p>
        </w:tc>
        <w:tc>
          <w:tcPr>
            <w:tcW w:w="10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24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40" w:type="dxa"/>
            <w:vAlign w:val="bottom"/>
          </w:tcPr>
          <w:p>
            <w:pPr>
              <w:spacing w:after="0"/>
              <w:rPr>
                <w:sz w:val="12"/>
                <w:szCs w:val="12"/>
                <w:color w:val="auto"/>
              </w:rPr>
            </w:pPr>
          </w:p>
        </w:tc>
      </w:tr>
      <w:tr>
        <w:trPr>
          <w:trHeight w:val="149"/>
        </w:trPr>
        <w:tc>
          <w:tcPr>
            <w:tcW w:w="2440" w:type="dxa"/>
            <w:vAlign w:val="bottom"/>
            <w:shd w:val="clear" w:color="auto" w:fill="CCEEFF"/>
          </w:tcPr>
          <w:p>
            <w:pPr>
              <w:jc w:val="right"/>
              <w:ind w:right="1711"/>
              <w:spacing w:after="0" w:line="149" w:lineRule="exact"/>
              <w:rPr>
                <w:sz w:val="20"/>
                <w:szCs w:val="20"/>
                <w:color w:val="auto"/>
              </w:rPr>
            </w:pPr>
            <w:r>
              <w:rPr>
                <w:rFonts w:ascii="Arial" w:cs="Arial" w:eastAsia="Arial" w:hAnsi="Arial"/>
                <w:sz w:val="14"/>
                <w:szCs w:val="14"/>
                <w:color w:val="auto"/>
                <w:w w:val="89"/>
              </w:rPr>
              <w:t>2018-01-22</w:t>
            </w:r>
          </w:p>
        </w:tc>
        <w:tc>
          <w:tcPr>
            <w:tcW w:w="176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BSA-2018-1</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49,200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c>
          <w:tcPr>
            <w:tcW w:w="2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2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40" w:type="dxa"/>
            <w:vAlign w:val="bottom"/>
            <w:shd w:val="clear" w:color="auto" w:fill="CCEEFF"/>
          </w:tcPr>
          <w:p>
            <w:pPr>
              <w:spacing w:after="0"/>
              <w:rPr>
                <w:sz w:val="12"/>
                <w:szCs w:val="12"/>
                <w:color w:val="auto"/>
              </w:rPr>
            </w:pPr>
          </w:p>
        </w:tc>
      </w:tr>
      <w:tr>
        <w:trPr>
          <w:trHeight w:val="149"/>
        </w:trPr>
        <w:tc>
          <w:tcPr>
            <w:tcW w:w="2440" w:type="dxa"/>
            <w:vAlign w:val="bottom"/>
          </w:tcPr>
          <w:p>
            <w:pPr>
              <w:jc w:val="right"/>
              <w:ind w:right="1711"/>
              <w:spacing w:after="0" w:line="149" w:lineRule="exact"/>
              <w:rPr>
                <w:sz w:val="20"/>
                <w:szCs w:val="20"/>
                <w:color w:val="auto"/>
              </w:rPr>
            </w:pPr>
            <w:r>
              <w:rPr>
                <w:rFonts w:ascii="Arial" w:cs="Arial" w:eastAsia="Arial" w:hAnsi="Arial"/>
                <w:sz w:val="14"/>
                <w:szCs w:val="14"/>
                <w:color w:val="auto"/>
                <w:w w:val="89"/>
              </w:rPr>
              <w:t>2014-03-11</w:t>
            </w:r>
          </w:p>
        </w:tc>
        <w:tc>
          <w:tcPr>
            <w:tcW w:w="1760" w:type="dxa"/>
            <w:vAlign w:val="bottom"/>
          </w:tcPr>
          <w:p>
            <w:pPr>
              <w:ind w:left="740"/>
              <w:spacing w:after="0" w:line="149" w:lineRule="exact"/>
              <w:rPr>
                <w:sz w:val="20"/>
                <w:szCs w:val="20"/>
                <w:color w:val="auto"/>
              </w:rPr>
            </w:pPr>
            <w:r>
              <w:rPr>
                <w:rFonts w:ascii="Arial" w:cs="Arial" w:eastAsia="Arial" w:hAnsi="Arial"/>
                <w:sz w:val="14"/>
                <w:szCs w:val="14"/>
                <w:color w:val="auto"/>
              </w:rPr>
              <w:t>BSA-2014-4</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2"/>
                <w:szCs w:val="12"/>
                <w:color w:val="auto"/>
              </w:rPr>
            </w:pPr>
          </w:p>
        </w:tc>
        <w:tc>
          <w:tcPr>
            <w:tcW w:w="100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842</w:t>
            </w:r>
          </w:p>
        </w:tc>
        <w:tc>
          <w:tcPr>
            <w:tcW w:w="20" w:type="dxa"/>
            <w:vAlign w:val="bottom"/>
          </w:tcPr>
          <w:p>
            <w:pPr>
              <w:spacing w:after="0"/>
              <w:rPr>
                <w:sz w:val="12"/>
                <w:szCs w:val="12"/>
                <w:color w:val="auto"/>
              </w:rPr>
            </w:pPr>
          </w:p>
        </w:tc>
        <w:tc>
          <w:tcPr>
            <w:tcW w:w="10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842</w:t>
            </w:r>
          </w:p>
        </w:tc>
        <w:tc>
          <w:tcPr>
            <w:tcW w:w="24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84,160</w:t>
            </w:r>
          </w:p>
        </w:tc>
        <w:tc>
          <w:tcPr>
            <w:tcW w:w="40" w:type="dxa"/>
            <w:vAlign w:val="bottom"/>
          </w:tcPr>
          <w:p>
            <w:pPr>
              <w:spacing w:after="0"/>
              <w:rPr>
                <w:sz w:val="12"/>
                <w:szCs w:val="12"/>
                <w:color w:val="auto"/>
              </w:rPr>
            </w:pPr>
          </w:p>
        </w:tc>
      </w:tr>
      <w:tr>
        <w:trPr>
          <w:trHeight w:val="148"/>
        </w:trPr>
        <w:tc>
          <w:tcPr>
            <w:tcW w:w="2440" w:type="dxa"/>
            <w:vAlign w:val="bottom"/>
            <w:shd w:val="clear" w:color="auto" w:fill="CCEEFF"/>
          </w:tcPr>
          <w:p>
            <w:pPr>
              <w:jc w:val="right"/>
              <w:ind w:right="1711"/>
              <w:spacing w:after="0" w:line="149" w:lineRule="exact"/>
              <w:rPr>
                <w:sz w:val="20"/>
                <w:szCs w:val="20"/>
                <w:color w:val="auto"/>
              </w:rPr>
            </w:pPr>
            <w:r>
              <w:rPr>
                <w:rFonts w:ascii="Arial" w:cs="Arial" w:eastAsia="Arial" w:hAnsi="Arial"/>
                <w:sz w:val="14"/>
                <w:szCs w:val="14"/>
                <w:color w:val="auto"/>
                <w:w w:val="89"/>
              </w:rPr>
              <w:t>2014-03-11</w:t>
            </w:r>
          </w:p>
        </w:tc>
        <w:tc>
          <w:tcPr>
            <w:tcW w:w="176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BSA-2014-5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w:t>
            </w:r>
          </w:p>
        </w:tc>
        <w:tc>
          <w:tcPr>
            <w:tcW w:w="2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459</w:t>
            </w:r>
          </w:p>
        </w:tc>
        <w:tc>
          <w:tcPr>
            <w:tcW w:w="2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45,900</w:t>
            </w:r>
          </w:p>
        </w:tc>
        <w:tc>
          <w:tcPr>
            <w:tcW w:w="40" w:type="dxa"/>
            <w:vAlign w:val="bottom"/>
            <w:shd w:val="clear" w:color="auto" w:fill="CCEEFF"/>
          </w:tcPr>
          <w:p>
            <w:pPr>
              <w:spacing w:after="0"/>
              <w:rPr>
                <w:sz w:val="12"/>
                <w:szCs w:val="12"/>
                <w:color w:val="auto"/>
              </w:rPr>
            </w:pPr>
          </w:p>
        </w:tc>
      </w:tr>
      <w:tr>
        <w:trPr>
          <w:trHeight w:val="155"/>
        </w:trPr>
        <w:tc>
          <w:tcPr>
            <w:tcW w:w="2440" w:type="dxa"/>
            <w:vAlign w:val="bottom"/>
          </w:tcPr>
          <w:p>
            <w:pPr>
              <w:spacing w:after="0"/>
              <w:rPr>
                <w:sz w:val="13"/>
                <w:szCs w:val="13"/>
                <w:color w:val="auto"/>
              </w:rPr>
            </w:pPr>
          </w:p>
        </w:tc>
        <w:tc>
          <w:tcPr>
            <w:tcW w:w="176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BSAs</w:t>
            </w: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247,798</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147,917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w w:val="80"/>
              </w:rPr>
              <w:t>—  </w:t>
            </w:r>
          </w:p>
        </w:tc>
        <w:tc>
          <w:tcPr>
            <w:tcW w:w="200" w:type="dxa"/>
            <w:vAlign w:val="bottom"/>
            <w:gridSpan w:val="2"/>
          </w:tcPr>
          <w:p>
            <w:pPr>
              <w:spacing w:after="0"/>
              <w:rPr>
                <w:sz w:val="13"/>
                <w:szCs w:val="13"/>
                <w:color w:val="auto"/>
              </w:rPr>
            </w:pPr>
          </w:p>
        </w:tc>
        <w:tc>
          <w:tcPr>
            <w:tcW w:w="7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(164)</w:t>
            </w:r>
          </w:p>
        </w:tc>
        <w:tc>
          <w:tcPr>
            <w:tcW w:w="320" w:type="dxa"/>
            <w:vAlign w:val="bottom"/>
            <w:gridSpan w:val="3"/>
          </w:tcPr>
          <w:p>
            <w:pPr>
              <w:spacing w:after="0"/>
              <w:rPr>
                <w:sz w:val="13"/>
                <w:szCs w:val="13"/>
                <w:color w:val="auto"/>
              </w:rPr>
            </w:pP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147,753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147,753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308,984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AGAs as well as the assumptions used for the measurement thereof in accordance with IFRS 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99"/>
              </w:rPr>
              <w:t>NUMBER OF</w:t>
            </w:r>
          </w:p>
        </w:tc>
        <w:tc>
          <w:tcPr>
            <w:tcW w:w="150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w w:val="99"/>
              </w:rPr>
              <w:t>NUMBER OF</w:t>
            </w:r>
          </w:p>
        </w:tc>
        <w:tc>
          <w:tcPr>
            <w:tcW w:w="11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NUMBER OF AGAs</w:t>
            </w:r>
          </w:p>
        </w:tc>
      </w:tr>
      <w:tr>
        <w:trPr>
          <w:trHeight w:val="135"/>
        </w:trPr>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jc w:val="center"/>
              <w:ind w:right="460"/>
              <w:spacing w:after="0" w:line="135" w:lineRule="exact"/>
              <w:rPr>
                <w:sz w:val="20"/>
                <w:szCs w:val="20"/>
                <w:color w:val="auto"/>
              </w:rPr>
            </w:pPr>
            <w:r>
              <w:rPr>
                <w:rFonts w:ascii="Arial" w:cs="Arial" w:eastAsia="Arial" w:hAnsi="Arial"/>
                <w:sz w:val="12"/>
                <w:szCs w:val="12"/>
                <w:b w:val="1"/>
                <w:bCs w:val="1"/>
                <w:color w:val="auto"/>
                <w:w w:val="95"/>
              </w:rPr>
              <w:t>NUMBER OF AGAs</w:t>
            </w:r>
          </w:p>
        </w:tc>
        <w:tc>
          <w:tcPr>
            <w:tcW w:w="1300" w:type="dxa"/>
            <w:vAlign w:val="bottom"/>
            <w:gridSpan w:val="3"/>
          </w:tcPr>
          <w:p>
            <w:pPr>
              <w:jc w:val="center"/>
              <w:ind w:right="500"/>
              <w:spacing w:after="0" w:line="135" w:lineRule="exact"/>
              <w:rPr>
                <w:sz w:val="20"/>
                <w:szCs w:val="20"/>
                <w:color w:val="auto"/>
              </w:rPr>
            </w:pPr>
            <w:r>
              <w:rPr>
                <w:rFonts w:ascii="Arial" w:cs="Arial" w:eastAsia="Arial" w:hAnsi="Arial"/>
                <w:sz w:val="12"/>
                <w:szCs w:val="12"/>
                <w:b w:val="1"/>
                <w:bCs w:val="1"/>
                <w:color w:val="auto"/>
                <w:w w:val="93"/>
              </w:rPr>
              <w:t>LAPSED AGAs</w:t>
            </w: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auto"/>
                <w:w w:val="94"/>
              </w:rPr>
              <w:t>EXERCISED AGAs</w:t>
            </w:r>
          </w:p>
        </w:tc>
        <w:tc>
          <w:tcPr>
            <w:tcW w:w="116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7"/>
              </w:rPr>
              <w:t>OUTSTANDING</w:t>
            </w:r>
          </w:p>
        </w:tc>
      </w:tr>
      <w:tr>
        <w:trPr>
          <w:trHeight w:val="135"/>
        </w:trPr>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2"/>
          </w:tcPr>
          <w:p>
            <w:pPr>
              <w:jc w:val="center"/>
              <w:ind w:right="460"/>
              <w:spacing w:after="0" w:line="135" w:lineRule="exact"/>
              <w:rPr>
                <w:sz w:val="20"/>
                <w:szCs w:val="20"/>
                <w:color w:val="auto"/>
              </w:rPr>
            </w:pPr>
            <w:r>
              <w:rPr>
                <w:rFonts w:ascii="Arial" w:cs="Arial" w:eastAsia="Arial" w:hAnsi="Arial"/>
                <w:sz w:val="12"/>
                <w:szCs w:val="12"/>
                <w:b w:val="1"/>
                <w:bCs w:val="1"/>
                <w:color w:val="auto"/>
                <w:w w:val="99"/>
              </w:rPr>
              <w:t>NUMBER OF</w:t>
            </w:r>
          </w:p>
        </w:tc>
        <w:tc>
          <w:tcPr>
            <w:tcW w:w="1700" w:type="dxa"/>
            <w:vAlign w:val="bottom"/>
            <w:gridSpan w:val="2"/>
          </w:tcPr>
          <w:p>
            <w:pPr>
              <w:jc w:val="right"/>
              <w:ind w:right="460"/>
              <w:spacing w:after="0" w:line="135" w:lineRule="exact"/>
              <w:rPr>
                <w:sz w:val="20"/>
                <w:szCs w:val="20"/>
                <w:color w:val="auto"/>
              </w:rPr>
            </w:pPr>
            <w:r>
              <w:rPr>
                <w:rFonts w:ascii="Arial" w:cs="Arial" w:eastAsia="Arial" w:hAnsi="Arial"/>
                <w:sz w:val="12"/>
                <w:szCs w:val="12"/>
                <w:b w:val="1"/>
                <w:bCs w:val="1"/>
                <w:color w:val="auto"/>
                <w:w w:val="94"/>
              </w:rPr>
              <w:t>OUTSTANGING AS OF</w:t>
            </w:r>
          </w:p>
        </w:tc>
        <w:tc>
          <w:tcPr>
            <w:tcW w:w="440" w:type="dxa"/>
            <w:vAlign w:val="bottom"/>
          </w:tcPr>
          <w:p>
            <w:pPr>
              <w:spacing w:after="0"/>
              <w:rPr>
                <w:sz w:val="11"/>
                <w:szCs w:val="11"/>
                <w:color w:val="auto"/>
              </w:rPr>
            </w:pPr>
          </w:p>
        </w:tc>
        <w:tc>
          <w:tcPr>
            <w:tcW w:w="2360" w:type="dxa"/>
            <w:vAlign w:val="bottom"/>
            <w:gridSpan w:val="5"/>
          </w:tcPr>
          <w:p>
            <w:pPr>
              <w:jc w:val="center"/>
              <w:ind w:right="920"/>
              <w:spacing w:after="0" w:line="135" w:lineRule="exact"/>
              <w:rPr>
                <w:sz w:val="20"/>
                <w:szCs w:val="20"/>
                <w:color w:val="auto"/>
              </w:rPr>
            </w:pPr>
            <w:r>
              <w:rPr>
                <w:rFonts w:ascii="Arial" w:cs="Arial" w:eastAsia="Arial" w:hAnsi="Arial"/>
                <w:sz w:val="12"/>
                <w:szCs w:val="12"/>
                <w:b w:val="1"/>
                <w:bCs w:val="1"/>
                <w:color w:val="auto"/>
                <w:w w:val="97"/>
              </w:rPr>
              <w:t>FOR THE PERIOD ENDED</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3"/>
        </w:trPr>
        <w:tc>
          <w:tcPr>
            <w:tcW w:w="3000" w:type="dxa"/>
            <w:vAlign w:val="bottom"/>
          </w:tcPr>
          <w:p>
            <w:pPr>
              <w:jc w:val="right"/>
              <w:ind w:right="1255"/>
              <w:spacing w:after="0"/>
              <w:rPr>
                <w:sz w:val="20"/>
                <w:szCs w:val="20"/>
                <w:color w:val="auto"/>
              </w:rPr>
            </w:pPr>
            <w:r>
              <w:rPr>
                <w:rFonts w:ascii="Arial" w:cs="Arial" w:eastAsia="Arial" w:hAnsi="Arial"/>
                <w:sz w:val="12"/>
                <w:szCs w:val="12"/>
                <w:b w:val="1"/>
                <w:bCs w:val="1"/>
                <w:color w:val="auto"/>
              </w:rPr>
              <w:t>GRANT DATE</w:t>
            </w:r>
          </w:p>
        </w:tc>
        <w:tc>
          <w:tcPr>
            <w:tcW w:w="2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2"/>
                <w:szCs w:val="12"/>
                <w:b w:val="1"/>
                <w:bCs w:val="1"/>
                <w:color w:val="auto"/>
              </w:rPr>
              <w:t>TYPE</w:t>
            </w:r>
          </w:p>
        </w:tc>
        <w:tc>
          <w:tcPr>
            <w:tcW w:w="4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AGAs ISSUED</w:t>
            </w:r>
          </w:p>
        </w:tc>
        <w:tc>
          <w:tcPr>
            <w:tcW w:w="170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2"/>
              </w:rPr>
              <w:t>JANUARY 1, 2022</w:t>
            </w:r>
          </w:p>
        </w:tc>
        <w:tc>
          <w:tcPr>
            <w:tcW w:w="44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JUNE 30, 2022</w:t>
            </w:r>
          </w:p>
        </w:tc>
        <w:tc>
          <w:tcPr>
            <w:tcW w:w="900" w:type="dxa"/>
            <w:vAlign w:val="bottom"/>
            <w:gridSpan w:val="2"/>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AS OF JUNE 30, 2022</w:t>
            </w:r>
          </w:p>
        </w:tc>
      </w:tr>
      <w:tr>
        <w:trPr>
          <w:trHeight w:val="136"/>
        </w:trPr>
        <w:tc>
          <w:tcPr>
            <w:tcW w:w="3000" w:type="dxa"/>
            <w:vAlign w:val="bottom"/>
            <w:tcBorders>
              <w:top w:val="single" w:sz="8" w:color="CCEEFF"/>
            </w:tcBorders>
            <w:shd w:val="clear" w:color="auto" w:fill="CCEEFF"/>
          </w:tcPr>
          <w:p>
            <w:pPr>
              <w:jc w:val="right"/>
              <w:ind w:right="2275"/>
              <w:spacing w:after="0" w:line="135" w:lineRule="exact"/>
              <w:rPr>
                <w:sz w:val="20"/>
                <w:szCs w:val="20"/>
                <w:color w:val="auto"/>
              </w:rPr>
            </w:pPr>
            <w:r>
              <w:rPr>
                <w:rFonts w:ascii="Arial" w:cs="Arial" w:eastAsia="Arial" w:hAnsi="Arial"/>
                <w:sz w:val="14"/>
                <w:szCs w:val="14"/>
                <w:color w:val="auto"/>
                <w:w w:val="89"/>
              </w:rPr>
              <w:t>2021-09-21</w:t>
            </w:r>
          </w:p>
        </w:tc>
        <w:tc>
          <w:tcPr>
            <w:tcW w:w="7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AGA 2021</w:t>
            </w:r>
          </w:p>
        </w:tc>
        <w:tc>
          <w:tcPr>
            <w:tcW w:w="1620" w:type="dxa"/>
            <w:vAlign w:val="bottom"/>
            <w:tcBorders>
              <w:top w:val="single" w:sz="8" w:color="CCEEFF"/>
            </w:tcBorders>
            <w:gridSpan w:val="3"/>
            <w:shd w:val="clear" w:color="auto" w:fill="CCEEFF"/>
          </w:tcPr>
          <w:p>
            <w:pPr>
              <w:ind w:left="700"/>
              <w:spacing w:after="0" w:line="135" w:lineRule="exact"/>
              <w:rPr>
                <w:sz w:val="20"/>
                <w:szCs w:val="20"/>
                <w:color w:val="auto"/>
              </w:rPr>
            </w:pPr>
            <w:r>
              <w:rPr>
                <w:rFonts w:ascii="Arial" w:cs="Arial" w:eastAsia="Arial" w:hAnsi="Arial"/>
                <w:sz w:val="14"/>
                <w:szCs w:val="14"/>
                <w:color w:val="auto"/>
              </w:rPr>
              <w:t>155,000</w:t>
            </w:r>
          </w:p>
        </w:tc>
        <w:tc>
          <w:tcPr>
            <w:tcW w:w="1700" w:type="dxa"/>
            <w:vAlign w:val="bottom"/>
            <w:tcBorders>
              <w:top w:val="single" w:sz="8" w:color="CCEEFF"/>
            </w:tcBorders>
            <w:gridSpan w:val="2"/>
            <w:shd w:val="clear" w:color="auto" w:fill="CCEEFF"/>
          </w:tcPr>
          <w:p>
            <w:pPr>
              <w:jc w:val="right"/>
              <w:ind w:right="460"/>
              <w:spacing w:after="0" w:line="135" w:lineRule="exact"/>
              <w:rPr>
                <w:sz w:val="20"/>
                <w:szCs w:val="20"/>
                <w:color w:val="auto"/>
              </w:rPr>
            </w:pPr>
            <w:r>
              <w:rPr>
                <w:rFonts w:ascii="Arial" w:cs="Arial" w:eastAsia="Arial" w:hAnsi="Arial"/>
                <w:sz w:val="14"/>
                <w:szCs w:val="14"/>
                <w:color w:val="auto"/>
              </w:rPr>
              <w:t>155,000</w:t>
            </w:r>
          </w:p>
        </w:tc>
        <w:tc>
          <w:tcPr>
            <w:tcW w:w="1300" w:type="dxa"/>
            <w:vAlign w:val="bottom"/>
            <w:tcBorders>
              <w:top w:val="single" w:sz="8" w:color="CCEEFF"/>
            </w:tcBorders>
            <w:gridSpan w:val="3"/>
            <w:shd w:val="clear" w:color="auto" w:fill="CCEEFF"/>
          </w:tcPr>
          <w:p>
            <w:pPr>
              <w:ind w:left="280"/>
              <w:spacing w:after="0" w:line="135" w:lineRule="exact"/>
              <w:rPr>
                <w:sz w:val="20"/>
                <w:szCs w:val="20"/>
                <w:color w:val="auto"/>
              </w:rPr>
            </w:pPr>
            <w:r>
              <w:rPr>
                <w:rFonts w:ascii="Arial" w:cs="Arial" w:eastAsia="Arial" w:hAnsi="Arial"/>
                <w:sz w:val="14"/>
                <w:szCs w:val="14"/>
                <w:color w:val="auto"/>
              </w:rPr>
              <w:t>(155,000)</w:t>
            </w:r>
          </w:p>
        </w:tc>
        <w:tc>
          <w:tcPr>
            <w:tcW w:w="6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gridSpan w:val="2"/>
            <w:shd w:val="clear" w:color="auto" w:fill="CCEEFF"/>
          </w:tcPr>
          <w:p>
            <w:pPr>
              <w:ind w:left="220"/>
              <w:spacing w:after="0" w:line="135" w:lineRule="exact"/>
              <w:rPr>
                <w:sz w:val="20"/>
                <w:szCs w:val="20"/>
                <w:color w:val="auto"/>
              </w:rPr>
            </w:pPr>
            <w:r>
              <w:rPr>
                <w:rFonts w:ascii="Arial" w:cs="Arial" w:eastAsia="Arial" w:hAnsi="Arial"/>
                <w:sz w:val="14"/>
                <w:szCs w:val="14"/>
                <w:color w:val="auto"/>
              </w:rPr>
              <w:t>—   </w:t>
            </w:r>
          </w:p>
        </w:tc>
        <w:tc>
          <w:tcPr>
            <w:tcW w:w="1120" w:type="dxa"/>
            <w:vAlign w:val="bottom"/>
            <w:tcBorders>
              <w:top w:val="single" w:sz="8" w:color="auto"/>
            </w:tcBorders>
            <w:shd w:val="clear" w:color="auto" w:fill="CCEEFF"/>
          </w:tcPr>
          <w:p>
            <w:pPr>
              <w:ind w:left="900"/>
              <w:spacing w:after="0" w:line="135" w:lineRule="exact"/>
              <w:rPr>
                <w:sz w:val="20"/>
                <w:szCs w:val="20"/>
                <w:color w:val="auto"/>
              </w:rPr>
            </w:pPr>
            <w:r>
              <w:rPr>
                <w:rFonts w:ascii="Arial" w:cs="Arial" w:eastAsia="Arial" w:hAnsi="Arial"/>
                <w:sz w:val="14"/>
                <w:szCs w:val="14"/>
                <w:color w:val="auto"/>
                <w:w w:val="80"/>
              </w:rPr>
              <w:t>—  </w:t>
            </w:r>
          </w:p>
        </w:tc>
        <w:tc>
          <w:tcPr>
            <w:tcW w:w="40" w:type="dxa"/>
            <w:vAlign w:val="bottom"/>
            <w:tcBorders>
              <w:top w:val="single" w:sz="8" w:color="CCEEFF"/>
            </w:tcBorders>
            <w:shd w:val="clear" w:color="auto" w:fill="CCEEFF"/>
          </w:tcPr>
          <w:p>
            <w:pPr>
              <w:spacing w:after="0"/>
              <w:rPr>
                <w:sz w:val="11"/>
                <w:szCs w:val="11"/>
                <w:color w:val="auto"/>
              </w:rPr>
            </w:pPr>
          </w:p>
        </w:tc>
      </w:tr>
      <w:tr>
        <w:trPr>
          <w:trHeight w:val="155"/>
        </w:trPr>
        <w:tc>
          <w:tcPr>
            <w:tcW w:w="30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Total AGAs</w:t>
            </w:r>
          </w:p>
        </w:tc>
        <w:tc>
          <w:tcPr>
            <w:tcW w:w="40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w w:val="86"/>
              </w:rPr>
              <w:t>155,000</w:t>
            </w:r>
          </w:p>
        </w:tc>
        <w:tc>
          <w:tcPr>
            <w:tcW w:w="46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155,000</w:t>
            </w:r>
          </w:p>
        </w:tc>
        <w:tc>
          <w:tcPr>
            <w:tcW w:w="46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w w:val="83"/>
              </w:rPr>
              <w:t>(155,000)</w:t>
            </w:r>
          </w:p>
        </w:tc>
        <w:tc>
          <w:tcPr>
            <w:tcW w:w="50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w w:val="80"/>
              </w:rPr>
              <w:t>—  </w:t>
            </w:r>
          </w:p>
        </w:tc>
        <w:tc>
          <w:tcPr>
            <w:tcW w:w="460" w:type="dxa"/>
            <w:vAlign w:val="bottom"/>
          </w:tcPr>
          <w:p>
            <w:pPr>
              <w:spacing w:after="0"/>
              <w:rPr>
                <w:sz w:val="13"/>
                <w:szCs w:val="13"/>
                <w:color w:val="auto"/>
              </w:rPr>
            </w:pPr>
          </w:p>
        </w:tc>
        <w:tc>
          <w:tcPr>
            <w:tcW w:w="1120" w:type="dxa"/>
            <w:vAlign w:val="bottom"/>
            <w:tcBorders>
              <w:top w:val="single" w:sz="8" w:color="auto"/>
              <w:bottom w:val="single" w:sz="8" w:color="auto"/>
            </w:tcBorders>
          </w:tcPr>
          <w:p>
            <w:pPr>
              <w:ind w:left="900"/>
              <w:spacing w:after="0" w:line="155" w:lineRule="exact"/>
              <w:rPr>
                <w:sz w:val="20"/>
                <w:szCs w:val="20"/>
                <w:color w:val="auto"/>
              </w:rPr>
            </w:pPr>
            <w:r>
              <w:rPr>
                <w:rFonts w:ascii="Arial" w:cs="Arial" w:eastAsia="Arial" w:hAnsi="Arial"/>
                <w:sz w:val="14"/>
                <w:szCs w:val="14"/>
                <w:b w:val="1"/>
                <w:bCs w:val="1"/>
                <w:color w:val="auto"/>
                <w:w w:val="80"/>
              </w:rPr>
              <w:t>—  </w:t>
            </w:r>
          </w:p>
        </w:tc>
        <w:tc>
          <w:tcPr>
            <w:tcW w:w="40" w:type="dxa"/>
            <w:vAlign w:val="bottom"/>
          </w:tcPr>
          <w:p>
            <w:pPr>
              <w:spacing w:after="0"/>
              <w:rPr>
                <w:sz w:val="13"/>
                <w:szCs w:val="13"/>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AGAs granted in September 2021 are subject to a vesting service condition of one year following the grant date. The number of shares to be vested under this plan depended on the following conditions: completion of an  M&amp;A transaction on or prior to July 31, 2022 and a price per ordinary share of the Company retained in the framework of the M&amp;A Transaction at least equal to €100 per share (or lower than €100 per share). During the period ended June 30, 2022, the AGAs were all forfeited since no M&amp;A transaction was completed on or prior to July 31, 2022. This resulted in a reversal of the related compensation expense of €1,026 thousand and the reversal of the accrual for social taxes of €205 thousand that was recorded as of December 31, 2021.</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Breakdown of the compensation expenses accounted for the period ended June 30, 2022 and 2023</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1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rPr>
              <w:t>EXPENSES RELATED</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EXPENSES RELATED</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8"/>
              </w:rPr>
              <w:t>TYPE</w:t>
            </w:r>
          </w:p>
        </w:tc>
        <w:tc>
          <w:tcPr>
            <w:tcW w:w="5720" w:type="dxa"/>
            <w:vAlign w:val="bottom"/>
            <w:vMerge w:val="restart"/>
          </w:tcPr>
          <w:p>
            <w:pPr>
              <w:spacing w:after="0"/>
              <w:rPr>
                <w:sz w:val="12"/>
                <w:szCs w:val="12"/>
                <w:color w:val="auto"/>
              </w:rPr>
            </w:pPr>
          </w:p>
        </w:tc>
        <w:tc>
          <w:tcPr>
            <w:tcW w:w="318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rPr>
              <w:t>TO THE PERIOD ENDED</w:t>
            </w:r>
          </w:p>
        </w:tc>
        <w:tc>
          <w:tcPr>
            <w:tcW w:w="1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TO THE PERIOD ENDED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3180" w:type="dxa"/>
            <w:vAlign w:val="bottom"/>
            <w:gridSpan w:val="2"/>
          </w:tcPr>
          <w:p>
            <w:pPr>
              <w:jc w:val="center"/>
              <w:ind w:right="1500"/>
              <w:spacing w:after="0" w:line="158" w:lineRule="exact"/>
              <w:rPr>
                <w:sz w:val="20"/>
                <w:szCs w:val="20"/>
                <w:color w:val="auto"/>
              </w:rPr>
            </w:pPr>
            <w:r>
              <w:rPr>
                <w:rFonts w:ascii="Arial" w:cs="Arial" w:eastAsia="Arial" w:hAnsi="Arial"/>
                <w:sz w:val="14"/>
                <w:szCs w:val="14"/>
                <w:b w:val="1"/>
                <w:bCs w:val="1"/>
                <w:color w:val="auto"/>
                <w:w w:val="96"/>
              </w:rPr>
              <w:t>JUNE 30, 2022</w:t>
            </w:r>
          </w:p>
        </w:tc>
        <w:tc>
          <w:tcPr>
            <w:tcW w:w="1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JUNE 30, 2023</w:t>
            </w:r>
          </w:p>
        </w:tc>
        <w:tc>
          <w:tcPr>
            <w:tcW w:w="0" w:type="dxa"/>
            <w:vAlign w:val="bottom"/>
          </w:tcPr>
          <w:p>
            <w:pPr>
              <w:spacing w:after="0"/>
              <w:rPr>
                <w:sz w:val="1"/>
                <w:szCs w:val="1"/>
                <w:color w:val="auto"/>
              </w:rPr>
            </w:pPr>
          </w:p>
        </w:tc>
      </w:tr>
      <w:tr>
        <w:trPr>
          <w:trHeight w:val="136"/>
        </w:trPr>
        <w:tc>
          <w:tcPr>
            <w:tcW w:w="6100" w:type="dxa"/>
            <w:vAlign w:val="bottom"/>
            <w:gridSpan w:val="2"/>
          </w:tcPr>
          <w:p>
            <w:pPr>
              <w:spacing w:after="0" w:line="135" w:lineRule="exact"/>
              <w:rPr>
                <w:sz w:val="20"/>
                <w:szCs w:val="20"/>
                <w:color w:val="auto"/>
              </w:rPr>
            </w:pPr>
            <w:r>
              <w:rPr>
                <w:rFonts w:ascii="Arial" w:cs="Arial" w:eastAsia="Arial" w:hAnsi="Arial"/>
                <w:sz w:val="14"/>
                <w:szCs w:val="14"/>
                <w:i w:val="1"/>
                <w:iCs w:val="1"/>
                <w:color w:val="auto"/>
              </w:rPr>
              <w:t>(in thousands of euros)</w:t>
            </w:r>
          </w:p>
        </w:tc>
        <w:tc>
          <w:tcPr>
            <w:tcW w:w="1680" w:type="dxa"/>
            <w:vAlign w:val="bottom"/>
            <w:tcBorders>
              <w:top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BCEs</w:t>
            </w:r>
          </w:p>
        </w:tc>
        <w:tc>
          <w:tcPr>
            <w:tcW w:w="3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(195)</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BSAs</w:t>
            </w:r>
          </w:p>
        </w:tc>
        <w:tc>
          <w:tcPr>
            <w:tcW w:w="3180" w:type="dxa"/>
            <w:vAlign w:val="bottom"/>
            <w:gridSpan w:val="2"/>
          </w:tcPr>
          <w:p>
            <w:pPr>
              <w:jc w:val="right"/>
              <w:ind w:right="144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AGAs</w:t>
            </w:r>
          </w:p>
        </w:tc>
        <w:tc>
          <w:tcPr>
            <w:tcW w:w="3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(1,026)</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Social taxes related to AGAs</w:t>
            </w:r>
          </w:p>
        </w:tc>
        <w:tc>
          <w:tcPr>
            <w:tcW w:w="3180" w:type="dxa"/>
            <w:vAlign w:val="bottom"/>
            <w:gridSpan w:val="2"/>
          </w:tcPr>
          <w:p>
            <w:pPr>
              <w:jc w:val="right"/>
              <w:ind w:right="1440"/>
              <w:spacing w:after="0"/>
              <w:rPr>
                <w:sz w:val="20"/>
                <w:szCs w:val="20"/>
                <w:color w:val="auto"/>
              </w:rPr>
            </w:pPr>
            <w:r>
              <w:rPr>
                <w:rFonts w:ascii="Arial" w:cs="Arial" w:eastAsia="Arial" w:hAnsi="Arial"/>
                <w:sz w:val="18"/>
                <w:szCs w:val="18"/>
                <w:color w:val="auto"/>
              </w:rPr>
              <w:t>(205)</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b w:val="1"/>
                <w:bCs w:val="1"/>
                <w:color w:val="auto"/>
              </w:rPr>
              <w:t>(1,426)</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period ended June 30, 2022, the total share-based compensation expense net of the reversal of AGA expense resulted in an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€1,426 thousand, including the related social taxes (€828 thousand in research and development and €598 thousand in general and administrative).</w:t>
      </w:r>
    </w:p>
    <w:p>
      <w:pPr>
        <w:spacing w:after="0" w:line="23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For the period ended June 30, 2023, the total share-based compensation amounted to €56 thousand (€29 thousand in research and development and €27 thousand in general and administrative).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Financial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liabilities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AS OF</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AS OF</w:t>
            </w: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(amounts in thousands of euros)</w:t>
            </w:r>
          </w:p>
        </w:tc>
        <w:tc>
          <w:tcPr>
            <w:tcW w:w="466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DECEMBER 31,</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FINANCIAL LIABILITIES</w:t>
            </w:r>
          </w:p>
        </w:tc>
        <w:tc>
          <w:tcPr>
            <w:tcW w:w="5700" w:type="dxa"/>
            <w:vAlign w:val="bottom"/>
            <w:gridSpan w:val="2"/>
          </w:tcPr>
          <w:p>
            <w:pPr>
              <w:jc w:val="center"/>
              <w:ind w:left="4572"/>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4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 liabilities</w:t>
            </w:r>
          </w:p>
        </w:tc>
        <w:tc>
          <w:tcPr>
            <w:tcW w:w="6280" w:type="dxa"/>
            <w:vAlign w:val="bottom"/>
            <w:gridSpan w:val="3"/>
          </w:tcPr>
          <w:p>
            <w:pPr>
              <w:jc w:val="right"/>
              <w:ind w:right="580"/>
              <w:spacing w:after="0"/>
              <w:rPr>
                <w:sz w:val="20"/>
                <w:szCs w:val="20"/>
                <w:color w:val="auto"/>
              </w:rPr>
            </w:pPr>
            <w:r>
              <w:rPr>
                <w:rFonts w:ascii="Arial" w:cs="Arial" w:eastAsia="Arial" w:hAnsi="Arial"/>
                <w:sz w:val="18"/>
                <w:szCs w:val="18"/>
                <w:color w:val="auto"/>
              </w:rPr>
              <w:t>839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3,558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Borrowings</w:t>
            </w:r>
          </w:p>
        </w:tc>
        <w:tc>
          <w:tcPr>
            <w:tcW w:w="4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9,127</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Oceane</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Convertible loan notes</w:t>
            </w:r>
          </w:p>
        </w:tc>
        <w:tc>
          <w:tcPr>
            <w:tcW w:w="4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19,332</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Kreos A &amp; B BSA</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424</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Oceane conversion option</w:t>
            </w:r>
          </w:p>
        </w:tc>
        <w:tc>
          <w:tcPr>
            <w:tcW w:w="466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142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4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4,328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Conditional advances Bpifrance</w:t>
            </w:r>
          </w:p>
        </w:tc>
        <w:tc>
          <w:tcPr>
            <w:tcW w:w="46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5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3,287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Other financial liabilities</w:t>
            </w:r>
          </w:p>
        </w:tc>
        <w:tc>
          <w:tcPr>
            <w:tcW w:w="4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6,549</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financial liabilities</w:t>
            </w:r>
          </w:p>
        </w:tc>
        <w:tc>
          <w:tcPr>
            <w:tcW w:w="4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35,573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43,747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Kreos 1 &amp; 2 bond loans</w:t>
            </w:r>
          </w:p>
        </w:tc>
        <w:tc>
          <w:tcPr>
            <w:tcW w:w="4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8,252</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PGE</w:t>
            </w:r>
          </w:p>
        </w:tc>
        <w:tc>
          <w:tcPr>
            <w:tcW w:w="466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1,280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4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10,077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9,031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Conditional advances Bpifrance</w:t>
            </w:r>
          </w:p>
        </w:tc>
        <w:tc>
          <w:tcPr>
            <w:tcW w:w="4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3,521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3,012</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Oceane</w:t>
            </w:r>
          </w:p>
        </w:tc>
        <w:tc>
          <w:tcPr>
            <w:tcW w:w="4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6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current financial liabilities</w:t>
            </w:r>
          </w:p>
        </w:tc>
        <w:tc>
          <w:tcPr>
            <w:tcW w:w="4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5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49,797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56,414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6280" w:type="dxa"/>
            <w:vAlign w:val="bottom"/>
            <w:gridSpan w:val="3"/>
          </w:tcPr>
          <w:p>
            <w:pPr>
              <w:jc w:val="right"/>
              <w:ind w:right="4680"/>
              <w:spacing w:after="0"/>
              <w:rPr>
                <w:sz w:val="20"/>
                <w:szCs w:val="20"/>
                <w:color w:val="auto"/>
              </w:rPr>
            </w:pPr>
            <w:r>
              <w:rPr>
                <w:rFonts w:ascii="Arial" w:cs="Arial" w:eastAsia="Arial" w:hAnsi="Arial"/>
                <w:sz w:val="18"/>
                <w:szCs w:val="18"/>
                <w:color w:val="auto"/>
              </w:rPr>
              <w:t>F-81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Note 15.1. Structured debt financing with Kreos subscribed in July 2018 – “Kreos 1” and in October 2020 </w:t>
      </w:r>
      <w:r>
        <w:rPr>
          <w:rFonts w:ascii="Arial" w:cs="Arial" w:eastAsia="Arial" w:hAnsi="Arial"/>
          <w:sz w:val="18"/>
          <w:szCs w:val="18"/>
          <w:b w:val="1"/>
          <w:bCs w:val="1"/>
          <w:i w:val="1"/>
          <w:iCs w:val="1"/>
          <w:color w:val="auto"/>
          <w:strike w:val="1"/>
        </w:rPr>
        <w:t>–</w:t>
      </w:r>
      <w:r>
        <w:rPr>
          <w:rFonts w:ascii="Arial" w:cs="Arial" w:eastAsia="Arial" w:hAnsi="Arial"/>
          <w:sz w:val="18"/>
          <w:szCs w:val="18"/>
          <w:b w:val="1"/>
          <w:bCs w:val="1"/>
          <w:i w:val="1"/>
          <w:iCs w:val="1"/>
          <w:color w:val="auto"/>
        </w:rPr>
        <w:t xml:space="preserve"> “Kreos 2”</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variation in the Kreos 1 &amp; 2 bond loans during the period ended June 30, 2023 is primarily related to reimbursements of capital and interests. As of December 31, 2022, the A tranche of the Kreos 1 bond loan has come to maturity and was repaid in full.</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The Group granted to the holders of the Kreos A BSA and the Kreos B BSA the option to sell to the Group, upon each exercise of all or parts of the Kreos A BSA, at the put price defined in the agreement, a proportion of the number of the warrants, for the sole purpose of implementing a cashless exercise of the Kreos A BSA and Kreos B BSA.</w:t>
      </w:r>
    </w:p>
    <w:p>
      <w:pPr>
        <w:spacing w:after="0" w:line="184"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On May 24, 2023, the holders opted for the cashless exercise option of the share warrants they held, implemented through the repurchase by the Group of 43,070 Kreos A BSA and 43,070 Kreos B BSA and the issuance by the Group of respectively 67,887 and 31,696 ordinary shares, as the result of the cashless exercise by Kreos of the outstanding 67,887 Kreos A &amp; 31,696 B BSA.</w:t>
      </w:r>
    </w:p>
    <w:p>
      <w:pPr>
        <w:spacing w:after="0" w:line="184" w:lineRule="exact"/>
        <w:rPr>
          <w:sz w:val="20"/>
          <w:szCs w:val="20"/>
          <w:color w:val="auto"/>
        </w:rPr>
      </w:pPr>
    </w:p>
    <w:p>
      <w:pPr>
        <w:ind w:left="120" w:right="1140"/>
        <w:spacing w:after="0" w:line="277" w:lineRule="auto"/>
        <w:rPr>
          <w:sz w:val="20"/>
          <w:szCs w:val="20"/>
          <w:color w:val="auto"/>
        </w:rPr>
      </w:pPr>
      <w:r>
        <w:rPr>
          <w:rFonts w:ascii="Arial" w:cs="Arial" w:eastAsia="Arial" w:hAnsi="Arial"/>
          <w:sz w:val="18"/>
          <w:szCs w:val="18"/>
          <w:color w:val="auto"/>
        </w:rPr>
        <w:t>The operation resulted in (i) the derecognition of the derivative financial liabilities corresponding to the Kreos A &amp; B BSA, amounting to €1,850 thousand as of May 24, 2023, (ii) an increase in shareholders’ equity for the same amount.</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August 21, 2023, the outstanding Kreos 1 &amp; 2 bond loans were repaid in full, for an amount of €7,661 thousand, using the proceeds from the new Kreos / Claret Financing (see Note 3.3).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15.2. OCEANE</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OCEANE shall be convertible into new ordinary shares and/or exchanged for existing ordinary shares of the Group at any time from their issuance and at the discretion of their holders. The initial conversion ratio is one ordinary share of the Group per OCEANE, representing a conversion price set to € 38.19 per ordinary share initially.</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accordance with the OCEANE terms and conditions, the conversion price was updated on January 30, 2023 and July 30, 2023 (i.e., respectively 18 months and 24 months after OCEANE issuance) to respectively €32.462 per ordinary share and €26.725 per ordinary share, and the conversion ratio was adjusted to respectively 1.176 and 1.429. The update from January 30, 2023 was taken into account in the calculation of the fair value of the conversion option as of June 30, 2023 (see Note 15.9).</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On August 24, 2023, the outstanding OCEANE were repaid in full, for an amount of €25,102 thousand, using the proceeds from the new Heights Financings (see Note 3.3).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15.3. State guaranteed loan – “PGE”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variation in the PGE loan over the period ended June 30, 2023 is primarily related to the reimbursement of capital and interests.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15.4.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Conditional advances as of June 30, 2023 and December 31, 2022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AS OF</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AS OF</w:t>
            </w: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of euros)</w:t>
            </w:r>
          </w:p>
        </w:tc>
        <w:tc>
          <w:tcPr>
            <w:tcW w:w="4960" w:type="dxa"/>
            <w:vAlign w:val="bottom"/>
          </w:tcPr>
          <w:p>
            <w:pPr>
              <w:spacing w:after="0"/>
              <w:rPr>
                <w:sz w:val="12"/>
                <w:szCs w:val="12"/>
                <w:color w:val="auto"/>
              </w:rPr>
            </w:pPr>
          </w:p>
        </w:tc>
        <w:tc>
          <w:tcPr>
            <w:tcW w:w="1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DECEMBER 31,</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JUNE 30,</w:t>
            </w: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CONDITIONAL ADVANCES</w:t>
            </w:r>
          </w:p>
        </w:tc>
        <w:tc>
          <w:tcPr>
            <w:tcW w:w="6000" w:type="dxa"/>
            <w:vAlign w:val="bottom"/>
            <w:gridSpan w:val="2"/>
          </w:tcPr>
          <w:p>
            <w:pPr>
              <w:jc w:val="center"/>
              <w:ind w:left="4875"/>
              <w:spacing w:after="0"/>
              <w:rPr>
                <w:sz w:val="20"/>
                <w:szCs w:val="20"/>
                <w:color w:val="auto"/>
              </w:rPr>
            </w:pPr>
            <w:r>
              <w:rPr>
                <w:rFonts w:ascii="Arial" w:cs="Arial" w:eastAsia="Arial" w:hAnsi="Arial"/>
                <w:sz w:val="14"/>
                <w:szCs w:val="14"/>
                <w:b w:val="1"/>
                <w:bCs w:val="1"/>
                <w:color w:val="auto"/>
                <w:w w:val="89"/>
              </w:rPr>
              <w:t>2022</w:t>
            </w: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4"/>
                <w:szCs w:val="14"/>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RNP VIR – Bpifrance</w:t>
            </w:r>
          </w:p>
        </w:tc>
        <w:tc>
          <w:tcPr>
            <w:tcW w:w="49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4,171</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CARENA – Bpifrance</w:t>
            </w:r>
          </w:p>
        </w:tc>
        <w:tc>
          <w:tcPr>
            <w:tcW w:w="6680" w:type="dxa"/>
            <w:vAlign w:val="bottom"/>
            <w:gridSpan w:val="3"/>
          </w:tcPr>
          <w:p>
            <w:pPr>
              <w:ind w:left="5600"/>
              <w:spacing w:after="0"/>
              <w:rPr>
                <w:sz w:val="20"/>
                <w:szCs w:val="20"/>
                <w:color w:val="auto"/>
              </w:rPr>
            </w:pPr>
            <w:r>
              <w:rPr>
                <w:rFonts w:ascii="Arial" w:cs="Arial" w:eastAsia="Arial" w:hAnsi="Arial"/>
                <w:sz w:val="18"/>
                <w:szCs w:val="18"/>
                <w:color w:val="auto"/>
              </w:rPr>
              <w:t>2,454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2,469</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EBOLA – Bpifrance</w:t>
            </w:r>
          </w:p>
        </w:tc>
        <w:tc>
          <w:tcPr>
            <w:tcW w:w="6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23"/>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conditional advances</w:t>
            </w:r>
          </w:p>
        </w:tc>
        <w:tc>
          <w:tcPr>
            <w:tcW w:w="496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84"/>
              </w:rPr>
              <w:t>6,783</w:t>
            </w:r>
          </w:p>
        </w:tc>
        <w:tc>
          <w:tcPr>
            <w:tcW w:w="6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6,780</w:t>
            </w:r>
          </w:p>
        </w:tc>
        <w:tc>
          <w:tcPr>
            <w:tcW w:w="6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6680" w:type="dxa"/>
            <w:vAlign w:val="bottom"/>
            <w:gridSpan w:val="3"/>
          </w:tcPr>
          <w:p>
            <w:pPr>
              <w:jc w:val="right"/>
              <w:ind w:right="4680"/>
              <w:spacing w:after="0"/>
              <w:rPr>
                <w:sz w:val="20"/>
                <w:szCs w:val="20"/>
                <w:color w:val="auto"/>
              </w:rPr>
            </w:pPr>
            <w:r>
              <w:rPr>
                <w:rFonts w:ascii="Arial" w:cs="Arial" w:eastAsia="Arial" w:hAnsi="Arial"/>
                <w:sz w:val="18"/>
                <w:szCs w:val="18"/>
                <w:color w:val="auto"/>
              </w:rPr>
              <w:t>F-82</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15.5. Lease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variations in lease liabilities are set forth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LEASE LIABILITY</w:t>
            </w:r>
          </w:p>
        </w:tc>
        <w:tc>
          <w:tcPr>
            <w:tcW w:w="0" w:type="dxa"/>
            <w:vAlign w:val="bottom"/>
          </w:tcPr>
          <w:p>
            <w:pPr>
              <w:spacing w:after="0"/>
              <w:rPr>
                <w:sz w:val="1"/>
                <w:szCs w:val="1"/>
                <w:color w:val="auto"/>
              </w:rPr>
            </w:pPr>
          </w:p>
        </w:tc>
      </w:tr>
      <w:tr>
        <w:trPr>
          <w:trHeight w:val="209"/>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June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June 30, 2023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mainly relate the Group’s headquarters and to a lesser extent to vehicles, parking lots and printers (Note 8).</w:t>
      </w:r>
    </w:p>
    <w:p>
      <w:pPr>
        <w:spacing w:after="0" w:line="22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lease for the Group’s corporate headquarters in Paris, France at 5 Rue de la Baume, 75008 Paris ended in August 2022. A new lease for premises at 7-11 Boulevard Haussmann, 75009 Paris started in July 2022. It has a three-year duration, with a tacit renewal option for approximately two years and the possibility to break the contract one year before the end. Per Management, renewal and termination options are not reasonably certain due to the forecasted development of the Group, which may lead the Group to relocate at the end of the initial term.</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2022 and June 30, 2023, the lease liability of the headquarters represented 97% and 96% of the total lease liability, respectively.</w:t>
      </w:r>
    </w:p>
    <w:p>
      <w:pPr>
        <w:spacing w:after="0" w:line="24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Lease expenses related to contracts for which a lease liability and right of use asset is recognized under IFRS 16 were €125 thousand and €263 thousand for the six months period ended June 30, 2022 and 2023, respectively. They were recognized for (i) €124 thousand and €251 thousand as Depreciation expenses and (ii) €1 thousand and €6 thousand as Interest expenses, for the six months period ended June 30, 2022 and 2023, respectively.</w:t>
      </w:r>
    </w:p>
    <w:p>
      <w:pPr>
        <w:spacing w:after="0" w:line="14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Lease expenses related to short-term lease contracts and low value assets are not included in the valuation of the lease liability for an amount of €10 thousand and €162 thousand for the periods ended June 30, 2022 and 2023,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15.6. Prosynergia earn-out liability</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terms of the share purchase acquisition of Prosynergia include a possible earn out triggered in the event the Company’s market capitalization is in excess of €300 million (evaluated at certain specified record dates), a listing of the Company’s shares on Nasdaq or an M&amp;A transaction prior to March 31, 2023. The amount of the earn-out is equal to 1% of the difference between the Company’s market capitalization and €300 million, subject to a maximum amount of €4.0 million.</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This potential earn-out payment was measured at fair value on April 1, 2022 (acquisition date), for an amount of €1,446 thousand, and included in the acquisition cost.</w:t>
      </w:r>
    </w:p>
    <w:p>
      <w:pPr>
        <w:spacing w:after="0" w:line="170"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As of June 30, 2022, the fair value of the earn-out liability amounted to €178 thousand. The remeasurement resulted in a financial income of €1,267 thousand over the period ended June 30, 2022.</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of December 31, 2022, the fair value of the earn-out liability was insignificant. During the first half of 2023, since its payment was not triggered by March 31, 2023, the liability was extinguished and thus reversed.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Prosynergia earn-out liability is measured at fair value using a Black-Scholes valuation model. The main data and assumptions are the following:</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As of and for the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48"/>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Prosynergia earn-out</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As of April 1, 2022</w:t>
            </w:r>
          </w:p>
        </w:tc>
        <w:tc>
          <w:tcPr>
            <w:tcW w:w="880" w:type="dxa"/>
            <w:vAlign w:val="bottom"/>
            <w:vMerge w:val="restart"/>
          </w:tcPr>
          <w:p>
            <w:pPr>
              <w:spacing w:after="0"/>
              <w:rPr>
                <w:sz w:val="12"/>
                <w:szCs w:val="12"/>
                <w:color w:val="auto"/>
              </w:rPr>
            </w:pPr>
          </w:p>
        </w:tc>
        <w:tc>
          <w:tcPr>
            <w:tcW w:w="19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0" w:type="dxa"/>
            <w:vAlign w:val="bottom"/>
          </w:tcPr>
          <w:p>
            <w:pPr>
              <w:spacing w:after="0"/>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9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6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-0.27%</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0.39%</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Market capitalization (in thousands of euros)</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403,118</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175,352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135,952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 (in euros)</w:t>
            </w:r>
          </w:p>
        </w:tc>
        <w:tc>
          <w:tcPr>
            <w:tcW w:w="20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24.15</w:t>
            </w: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10.46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Time to maturity</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1 year</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0.75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0.25 year</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61.00%</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77.16%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Dividend</w:t>
            </w: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the earn-out liability (in thousands of euros)</w:t>
            </w: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(1,446)</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(178)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April 1, 2022, using the same assumption with an increase of +1% volatility, €+1 share price and +1% risk free rate would result in an increase of the earn-out liability fair value by €12 thousand, €132 thousand and €17 thousand, respectively.</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June 30, 2022, using the same assumption with an increase of +1% volatility, €+1 share price and +1% risk free rate would result in an increase of the earn-out liability fair value by €5 thousand, €58 thousand and €3 thousand, respectively.</w:t>
      </w:r>
    </w:p>
    <w:p>
      <w:pPr>
        <w:spacing w:after="0" w:line="170"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As of December 31, 2022, the fair value of the earn-out liability is approximately €0. Using the same assumption with an increase of +1% volatility, €+1 share price and +1% risk free rate would result in an increase of the earn-out liability fair value by an amount less than €1 thousand.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15.7. Royalty certificates</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Over the second quarter of 2023, the Group reassessed its estimate of the probability of future royalty cash flows related to the royalty certificates. This change reflected the higher probability to reach the objectives of the development and commercialization plans following the recent changes in management and governance, as well as results from its Phase 2b open-label maintenance trial in UC, as released in April 2023.</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Subsequently, in June 2023, the Group revised the development and commercialization plans of obefazimod and reassessed its estimate of future royalty cash flows accordingly.</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These changes in estimates resulted in a remeasurement of the certificates’ amortized costs, using the original EIR of 34% calculated at the date of issuance, which led to an increase by €6,512 of the royalty certificates liability. The expense was recorded within the interest expenses in the Statement of Profit or Loss.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Consequently, the total interest expense (including the unwinding of discount) related to royalty certificates amounts to €7,331 thousand for the period ended June 30, 2023.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as of June 30,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this date, the fair value of the royalty certificates, calculated using the same model as their initial measurement, amounts to €11,589 thousand.</w:t>
      </w:r>
    </w:p>
    <w:p>
      <w:pPr>
        <w:spacing w:after="0" w:line="23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The fair value of the royalty certificates is based on the NPV of royalties, which depend on assumptions made by the Group with regards to the probability of success of its studies (“POS”), the commercialization budget of obefazimod (“peak penetration”) and the Group’s WACC. In addition, royalty projections have been adjusted to reflect any difference between the Group’s value derived from management projections and the Group’s market capitalization.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sensitivity analysis to key assumptions is presented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Peak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royalty certificates</w:t>
            </w:r>
          </w:p>
        </w:tc>
        <w:tc>
          <w:tcPr>
            <w:tcW w:w="0" w:type="dxa"/>
            <w:vAlign w:val="bottom"/>
          </w:tcPr>
          <w:p>
            <w:pPr>
              <w:spacing w:after="0"/>
              <w:rPr>
                <w:sz w:val="1"/>
                <w:szCs w:val="1"/>
                <w:color w:val="auto"/>
              </w:rPr>
            </w:pPr>
          </w:p>
        </w:tc>
      </w:tr>
      <w:tr>
        <w:trPr>
          <w:trHeight w:val="171"/>
        </w:trPr>
        <w:tc>
          <w:tcPr>
            <w:tcW w:w="2520" w:type="dxa"/>
            <w:vAlign w:val="bottom"/>
            <w:vMerge w:val="restart"/>
          </w:tcPr>
          <w:p>
            <w:pPr>
              <w:ind w:left="1120"/>
              <w:spacing w:after="0"/>
              <w:rPr>
                <w:sz w:val="20"/>
                <w:szCs w:val="20"/>
                <w:color w:val="auto"/>
              </w:rPr>
            </w:pPr>
            <w:r>
              <w:rPr>
                <w:rFonts w:ascii="Arial" w:cs="Arial" w:eastAsia="Arial" w:hAnsi="Arial"/>
                <w:sz w:val="18"/>
                <w:szCs w:val="18"/>
                <w:color w:val="auto"/>
              </w:rPr>
              <w:t>-5 points</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(in thousands of euros)</w:t>
            </w:r>
          </w:p>
        </w:tc>
        <w:tc>
          <w:tcPr>
            <w:tcW w:w="0" w:type="dxa"/>
            <w:vAlign w:val="bottom"/>
          </w:tcPr>
          <w:p>
            <w:pPr>
              <w:spacing w:after="0"/>
              <w:rPr>
                <w:sz w:val="1"/>
                <w:szCs w:val="1"/>
                <w:color w:val="auto"/>
              </w:rPr>
            </w:pPr>
          </w:p>
        </w:tc>
      </w:tr>
      <w:tr>
        <w:trPr>
          <w:trHeight w:val="195"/>
        </w:trPr>
        <w:tc>
          <w:tcPr>
            <w:tcW w:w="2520" w:type="dxa"/>
            <w:vAlign w:val="bottom"/>
            <w:vMerge w:val="continue"/>
          </w:tcPr>
          <w:p>
            <w:pPr>
              <w:spacing w:after="0"/>
              <w:rPr>
                <w:sz w:val="16"/>
                <w:szCs w:val="16"/>
                <w:color w:val="auto"/>
              </w:rPr>
            </w:pP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100"/>
              <w:spacing w:after="0"/>
              <w:rPr>
                <w:sz w:val="20"/>
                <w:szCs w:val="20"/>
                <w:color w:val="auto"/>
              </w:rPr>
            </w:pPr>
            <w:r>
              <w:rPr>
                <w:rFonts w:ascii="Arial" w:cs="Arial" w:eastAsia="Arial" w:hAnsi="Arial"/>
                <w:sz w:val="18"/>
                <w:szCs w:val="18"/>
                <w:color w:val="auto"/>
              </w:rPr>
              <w:t>+5 points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369"/>
        </w:trPr>
        <w:tc>
          <w:tcPr>
            <w:tcW w:w="252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royalty certificates</w:t>
            </w:r>
          </w:p>
        </w:tc>
        <w:tc>
          <w:tcPr>
            <w:tcW w:w="0" w:type="dxa"/>
            <w:vAlign w:val="bottom"/>
          </w:tcPr>
          <w:p>
            <w:pPr>
              <w:spacing w:after="0"/>
              <w:rPr>
                <w:sz w:val="1"/>
                <w:szCs w:val="1"/>
                <w:color w:val="auto"/>
              </w:rPr>
            </w:pPr>
          </w:p>
        </w:tc>
      </w:tr>
      <w:tr>
        <w:trPr>
          <w:trHeight w:val="171"/>
        </w:trPr>
        <w:tc>
          <w:tcPr>
            <w:tcW w:w="2520" w:type="dxa"/>
            <w:vAlign w:val="bottom"/>
            <w:vMerge w:val="restart"/>
          </w:tcPr>
          <w:p>
            <w:pPr>
              <w:jc w:val="center"/>
              <w:ind w:right="570"/>
              <w:spacing w:after="0"/>
              <w:rPr>
                <w:sz w:val="20"/>
                <w:szCs w:val="20"/>
                <w:color w:val="auto"/>
              </w:rPr>
            </w:pPr>
            <w:r>
              <w:rPr>
                <w:rFonts w:ascii="Arial" w:cs="Arial" w:eastAsia="Arial" w:hAnsi="Arial"/>
                <w:sz w:val="18"/>
                <w:szCs w:val="18"/>
                <w:color w:val="auto"/>
                <w:w w:val="89"/>
              </w:rPr>
              <w:t>-5% (worst case scenario)</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(in thousands of euros)</w:t>
            </w:r>
          </w:p>
        </w:tc>
        <w:tc>
          <w:tcPr>
            <w:tcW w:w="0" w:type="dxa"/>
            <w:vAlign w:val="bottom"/>
          </w:tcPr>
          <w:p>
            <w:pPr>
              <w:spacing w:after="0"/>
              <w:rPr>
                <w:sz w:val="1"/>
                <w:szCs w:val="1"/>
                <w:color w:val="auto"/>
              </w:rPr>
            </w:pPr>
          </w:p>
        </w:tc>
      </w:tr>
      <w:tr>
        <w:trPr>
          <w:trHeight w:val="195"/>
        </w:trPr>
        <w:tc>
          <w:tcPr>
            <w:tcW w:w="2520" w:type="dxa"/>
            <w:vAlign w:val="bottom"/>
            <w:vMerge w:val="continue"/>
          </w:tcPr>
          <w:p>
            <w:pPr>
              <w:spacing w:after="0"/>
              <w:rPr>
                <w:sz w:val="16"/>
                <w:szCs w:val="16"/>
                <w:color w:val="auto"/>
              </w:rPr>
            </w:pP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jc w:val="center"/>
              <w:ind w:right="570"/>
              <w:spacing w:after="0"/>
              <w:rPr>
                <w:sz w:val="20"/>
                <w:szCs w:val="20"/>
                <w:color w:val="auto"/>
              </w:rPr>
            </w:pPr>
            <w:r>
              <w:rPr>
                <w:rFonts w:ascii="Arial" w:cs="Arial" w:eastAsia="Arial" w:hAnsi="Arial"/>
                <w:sz w:val="18"/>
                <w:szCs w:val="18"/>
                <w:color w:val="auto"/>
                <w:w w:val="87"/>
              </w:rPr>
              <w:t>+5% (best case scenario)</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369"/>
        </w:trPr>
        <w:tc>
          <w:tcPr>
            <w:tcW w:w="252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royalty certificates</w:t>
            </w:r>
          </w:p>
        </w:tc>
        <w:tc>
          <w:tcPr>
            <w:tcW w:w="0" w:type="dxa"/>
            <w:vAlign w:val="bottom"/>
          </w:tcPr>
          <w:p>
            <w:pPr>
              <w:spacing w:after="0"/>
              <w:rPr>
                <w:sz w:val="1"/>
                <w:szCs w:val="1"/>
                <w:color w:val="auto"/>
              </w:rPr>
            </w:pPr>
          </w:p>
        </w:tc>
      </w:tr>
      <w:tr>
        <w:trPr>
          <w:trHeight w:val="171"/>
        </w:trPr>
        <w:tc>
          <w:tcPr>
            <w:tcW w:w="2520" w:type="dxa"/>
            <w:vAlign w:val="bottom"/>
            <w:vMerge w:val="restart"/>
          </w:tcPr>
          <w:p>
            <w:pPr>
              <w:ind w:left="1120"/>
              <w:spacing w:after="0"/>
              <w:rPr>
                <w:sz w:val="20"/>
                <w:szCs w:val="20"/>
                <w:color w:val="auto"/>
              </w:rPr>
            </w:pPr>
            <w:r>
              <w:rPr>
                <w:rFonts w:ascii="Arial" w:cs="Arial" w:eastAsia="Arial" w:hAnsi="Arial"/>
                <w:sz w:val="18"/>
                <w:szCs w:val="18"/>
                <w:color w:val="auto"/>
              </w:rPr>
              <w:t>-1 point</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(in thousands of euros)</w:t>
            </w:r>
          </w:p>
        </w:tc>
        <w:tc>
          <w:tcPr>
            <w:tcW w:w="0" w:type="dxa"/>
            <w:vAlign w:val="bottom"/>
          </w:tcPr>
          <w:p>
            <w:pPr>
              <w:spacing w:after="0"/>
              <w:rPr>
                <w:sz w:val="1"/>
                <w:szCs w:val="1"/>
                <w:color w:val="auto"/>
              </w:rPr>
            </w:pPr>
          </w:p>
        </w:tc>
      </w:tr>
      <w:tr>
        <w:trPr>
          <w:trHeight w:val="195"/>
        </w:trPr>
        <w:tc>
          <w:tcPr>
            <w:tcW w:w="2520" w:type="dxa"/>
            <w:vAlign w:val="bottom"/>
            <w:vMerge w:val="continue"/>
          </w:tcPr>
          <w:p>
            <w:pPr>
              <w:spacing w:after="0"/>
              <w:rPr>
                <w:sz w:val="16"/>
                <w:szCs w:val="16"/>
                <w:color w:val="auto"/>
              </w:rPr>
            </w:pP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100"/>
              <w:spacing w:after="0"/>
              <w:rPr>
                <w:sz w:val="20"/>
                <w:szCs w:val="20"/>
                <w:color w:val="auto"/>
              </w:rPr>
            </w:pPr>
            <w:r>
              <w:rPr>
                <w:rFonts w:ascii="Arial" w:cs="Arial" w:eastAsia="Arial" w:hAnsi="Arial"/>
                <w:sz w:val="18"/>
                <w:szCs w:val="18"/>
                <w:color w:val="auto"/>
              </w:rPr>
              <w:t>+1 point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369"/>
        </w:trPr>
        <w:tc>
          <w:tcPr>
            <w:tcW w:w="252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royalty certificates</w:t>
            </w:r>
          </w:p>
        </w:tc>
        <w:tc>
          <w:tcPr>
            <w:tcW w:w="0" w:type="dxa"/>
            <w:vAlign w:val="bottom"/>
          </w:tcPr>
          <w:p>
            <w:pPr>
              <w:spacing w:after="0"/>
              <w:rPr>
                <w:sz w:val="1"/>
                <w:szCs w:val="1"/>
                <w:color w:val="auto"/>
              </w:rPr>
            </w:pPr>
          </w:p>
        </w:tc>
      </w:tr>
      <w:tr>
        <w:trPr>
          <w:trHeight w:val="171"/>
        </w:trPr>
        <w:tc>
          <w:tcPr>
            <w:tcW w:w="2520" w:type="dxa"/>
            <w:vAlign w:val="bottom"/>
            <w:vMerge w:val="restart"/>
          </w:tcPr>
          <w:p>
            <w:pPr>
              <w:jc w:val="center"/>
              <w:ind w:left="430"/>
              <w:spacing w:after="0"/>
              <w:rPr>
                <w:sz w:val="20"/>
                <w:szCs w:val="20"/>
                <w:color w:val="auto"/>
              </w:rPr>
            </w:pPr>
            <w:r>
              <w:rPr>
                <w:rFonts w:ascii="Arial" w:cs="Arial" w:eastAsia="Arial" w:hAnsi="Arial"/>
                <w:sz w:val="18"/>
                <w:szCs w:val="18"/>
                <w:color w:val="auto"/>
                <w:w w:val="91"/>
              </w:rPr>
              <w:t>-1 euro</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(in thousands of euros)</w:t>
            </w:r>
          </w:p>
        </w:tc>
        <w:tc>
          <w:tcPr>
            <w:tcW w:w="0" w:type="dxa"/>
            <w:vAlign w:val="bottom"/>
          </w:tcPr>
          <w:p>
            <w:pPr>
              <w:spacing w:after="0"/>
              <w:rPr>
                <w:sz w:val="1"/>
                <w:szCs w:val="1"/>
                <w:color w:val="auto"/>
              </w:rPr>
            </w:pPr>
          </w:p>
        </w:tc>
      </w:tr>
      <w:tr>
        <w:trPr>
          <w:trHeight w:val="195"/>
        </w:trPr>
        <w:tc>
          <w:tcPr>
            <w:tcW w:w="2520" w:type="dxa"/>
            <w:vAlign w:val="bottom"/>
            <w:vMerge w:val="continue"/>
          </w:tcPr>
          <w:p>
            <w:pPr>
              <w:spacing w:after="0"/>
              <w:rPr>
                <w:sz w:val="16"/>
                <w:szCs w:val="16"/>
                <w:color w:val="auto"/>
              </w:rPr>
            </w:pP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jc w:val="center"/>
              <w:ind w:left="430"/>
              <w:spacing w:after="0"/>
              <w:rPr>
                <w:sz w:val="20"/>
                <w:szCs w:val="20"/>
                <w:color w:val="auto"/>
              </w:rPr>
            </w:pPr>
            <w:r>
              <w:rPr>
                <w:rFonts w:ascii="Arial" w:cs="Arial" w:eastAsia="Arial" w:hAnsi="Arial"/>
                <w:sz w:val="18"/>
                <w:szCs w:val="18"/>
                <w:color w:val="auto"/>
                <w:w w:val="90"/>
              </w:rPr>
              <w:t>+1 euro</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3980"/>
          </w:cols>
          <w:pgMar w:left="320" w:top="459" w:right="439" w:bottom="1440" w:gutter="0" w:footer="0" w:header="0"/>
        </w:sectPr>
      </w:pP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15.8. Change in financial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financial liabilities are set forth below:</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Conditional</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Prosynergia</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Kreos 1 &amp; 2</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0"/>
              </w:rPr>
              <w:t>advances</w:t>
            </w:r>
          </w:p>
        </w:tc>
        <w:tc>
          <w:tcPr>
            <w:tcW w:w="80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Lease</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earn-out</w:t>
            </w:r>
          </w:p>
        </w:tc>
        <w:tc>
          <w:tcPr>
            <w:tcW w:w="8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Royalty</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Arial" w:cs="Arial" w:eastAsia="Arial" w:hAnsi="Arial"/>
                <w:sz w:val="13"/>
                <w:szCs w:val="13"/>
                <w:i w:val="1"/>
                <w:iCs w:val="1"/>
                <w:color w:val="auto"/>
              </w:rPr>
              <w:t>(Amounts in thousands of euros)</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bond loans</w:t>
            </w:r>
          </w:p>
        </w:tc>
        <w:tc>
          <w:tcPr>
            <w:tcW w:w="14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9"/>
              </w:rPr>
              <w:t>Oceane</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PGE</w:t>
            </w: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BPI</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6"/>
              </w:rPr>
              <w:t>liabilities</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liability</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certificates</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FINANCIAL LIABILITIES</w:t>
            </w: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(excluding derivatives instruments)</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b w:val="1"/>
                <w:bCs w:val="1"/>
                <w:color w:val="auto"/>
              </w:rPr>
              <w:t>As of December 31, 2021</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21,110</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18,816</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4,742</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6,770</w:t>
            </w:r>
          </w:p>
        </w:tc>
        <w:tc>
          <w:tcPr>
            <w:tcW w:w="3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214</w:t>
            </w:r>
          </w:p>
        </w:tc>
        <w:tc>
          <w:tcPr>
            <w:tcW w:w="960" w:type="dxa"/>
            <w:vAlign w:val="bottom"/>
            <w:gridSpan w:val="2"/>
          </w:tcPr>
          <w:p>
            <w:pPr>
              <w:ind w:left="420"/>
              <w:spacing w:after="0"/>
              <w:rPr>
                <w:sz w:val="20"/>
                <w:szCs w:val="20"/>
                <w:color w:val="auto"/>
              </w:rPr>
            </w:pPr>
            <w:r>
              <w:rPr>
                <w:rFonts w:ascii="Arial" w:cs="Arial" w:eastAsia="Arial" w:hAnsi="Arial"/>
                <w:sz w:val="16"/>
                <w:szCs w:val="16"/>
                <w:b w:val="1"/>
                <w:bCs w:val="1"/>
                <w:color w:val="auto"/>
              </w:rPr>
              <w:t>—  </w:t>
            </w:r>
          </w:p>
        </w:tc>
        <w:tc>
          <w:tcPr>
            <w:tcW w:w="840" w:type="dxa"/>
            <w:vAlign w:val="bottom"/>
            <w:gridSpan w:val="2"/>
          </w:tcPr>
          <w:p>
            <w:pPr>
              <w:ind w:left="340"/>
              <w:spacing w:after="0"/>
              <w:rPr>
                <w:sz w:val="20"/>
                <w:szCs w:val="20"/>
                <w:color w:val="auto"/>
              </w:rPr>
            </w:pPr>
            <w:r>
              <w:rPr>
                <w:rFonts w:ascii="Arial" w:cs="Arial" w:eastAsia="Arial" w:hAnsi="Arial"/>
                <w:sz w:val="16"/>
                <w:szCs w:val="16"/>
                <w:b w:val="1"/>
                <w:bCs w:val="1"/>
                <w:color w:val="auto"/>
              </w:rPr>
              <w:t>—  </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3"/>
              </w:rPr>
              <w:t>51,653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Repayments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Interest paid</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(881)</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(750)</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rPr>
              <w:t>—  </w:t>
            </w: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Non-cash changes: interest expense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Non-cash changes: recognition of earn-out liability</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1,446</w:t>
            </w:r>
          </w:p>
        </w:tc>
        <w:tc>
          <w:tcPr>
            <w:tcW w:w="30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—    </w:t>
            </w:r>
          </w:p>
        </w:tc>
        <w:tc>
          <w:tcPr>
            <w:tcW w:w="48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Non-cash changes: fair value remeasurement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(1,267)</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b w:val="1"/>
                <w:bCs w:val="1"/>
                <w:color w:val="auto"/>
              </w:rPr>
              <w:t>As of June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19,364</w:t>
            </w:r>
          </w:p>
        </w:tc>
        <w:tc>
          <w:tcPr>
            <w:tcW w:w="3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4,761</w:t>
            </w:r>
          </w:p>
        </w:tc>
        <w:tc>
          <w:tcPr>
            <w:tcW w:w="3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6,789</w:t>
            </w:r>
          </w:p>
        </w:tc>
        <w:tc>
          <w:tcPr>
            <w:tcW w:w="3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300" w:type="dxa"/>
            <w:vAlign w:val="bottom"/>
          </w:tcPr>
          <w:p>
            <w:pPr>
              <w:spacing w:after="0"/>
              <w:rPr>
                <w:sz w:val="17"/>
                <w:szCs w:val="17"/>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w w:val="82"/>
              </w:rPr>
              <w:t>178</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w w:val="77"/>
              </w:rPr>
              <w:t>—  </w:t>
            </w:r>
          </w:p>
        </w:tc>
        <w:tc>
          <w:tcPr>
            <w:tcW w:w="2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47,707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 2023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19,957</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6,783</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b w:val="1"/>
                <w:bCs w:val="1"/>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3,287</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49,231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6"/>
                <w:szCs w:val="16"/>
                <w:color w:val="auto"/>
              </w:rPr>
              <w:t>Repayments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20" w:type="dxa"/>
            <w:vAlign w:val="bottom"/>
            <w:vMerge w:val="continue"/>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(3,727)</w:t>
            </w:r>
          </w:p>
        </w:tc>
        <w:tc>
          <w:tcPr>
            <w:tcW w:w="14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(1,250)</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(50)</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(270)</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rPr>
              <w:t>—  </w:t>
            </w: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(750)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Non-cash changes: interest expense and other</w:t>
            </w:r>
          </w:p>
        </w:tc>
        <w:tc>
          <w:tcPr>
            <w:tcW w:w="640" w:type="dxa"/>
            <w:vAlign w:val="bottom"/>
          </w:tcPr>
          <w:p>
            <w:pPr>
              <w:jc w:val="right"/>
              <w:spacing w:after="0"/>
              <w:rPr>
                <w:sz w:val="20"/>
                <w:szCs w:val="20"/>
                <w:color w:val="auto"/>
              </w:rPr>
            </w:pPr>
            <w:r>
              <w:rPr>
                <w:rFonts w:ascii="Arial" w:cs="Arial" w:eastAsia="Arial" w:hAnsi="Arial"/>
                <w:sz w:val="16"/>
                <w:szCs w:val="16"/>
                <w:color w:val="auto"/>
              </w:rPr>
              <w:t>559</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1,382</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6</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rPr>
              <w:t>—  </w:t>
            </w:r>
          </w:p>
        </w:tc>
        <w:tc>
          <w:tcPr>
            <w:tcW w:w="580" w:type="dxa"/>
            <w:vAlign w:val="bottom"/>
          </w:tcPr>
          <w:p>
            <w:pPr>
              <w:ind w:left="340"/>
              <w:spacing w:after="0"/>
              <w:rPr>
                <w:sz w:val="20"/>
                <w:szCs w:val="20"/>
                <w:color w:val="auto"/>
              </w:rPr>
            </w:pPr>
            <w:r>
              <w:rPr>
                <w:rFonts w:ascii="Arial" w:cs="Arial" w:eastAsia="Arial" w:hAnsi="Arial"/>
                <w:sz w:val="16"/>
                <w:szCs w:val="16"/>
                <w:color w:val="auto"/>
                <w:w w:val="82"/>
              </w:rPr>
              <w:t>819</w:t>
            </w:r>
          </w:p>
        </w:tc>
        <w:tc>
          <w:tcPr>
            <w:tcW w:w="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Non-cash changes: amortized cost remeasurement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b w:val="1"/>
                <w:bCs w:val="1"/>
                <w:color w:val="auto"/>
              </w:rPr>
              <w:t>As of June 30, 2023</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9,366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20,589</w:t>
            </w:r>
          </w:p>
        </w:tc>
        <w:tc>
          <w:tcPr>
            <w:tcW w:w="3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3,619</w:t>
            </w:r>
          </w:p>
        </w:tc>
        <w:tc>
          <w:tcPr>
            <w:tcW w:w="3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6,780</w:t>
            </w:r>
          </w:p>
        </w:tc>
        <w:tc>
          <w:tcPr>
            <w:tcW w:w="3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1,114</w:t>
            </w:r>
          </w:p>
        </w:tc>
        <w:tc>
          <w:tcPr>
            <w:tcW w:w="300" w:type="dxa"/>
            <w:vAlign w:val="bottom"/>
          </w:tcPr>
          <w:p>
            <w:pPr>
              <w:spacing w:after="0"/>
              <w:rPr>
                <w:sz w:val="17"/>
                <w:szCs w:val="17"/>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w w:val="77"/>
              </w:rPr>
              <w:t>—  </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10,618</w:t>
            </w:r>
          </w:p>
        </w:tc>
        <w:tc>
          <w:tcPr>
            <w:tcW w:w="2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52,086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rPr>
              <w:t>F-85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352" w:name="page353"/>
    <w:bookmarkEnd w:id="3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15.9. Change in 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derivative instruments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OCEANE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Kreos A BSA</w:t>
            </w: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Kreos B BSA</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conversion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FINANCIAL INSTRUMENTS</w:t>
            </w: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2,478</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1,525</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5,929</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9,932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Increase in fair value</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 Decrease in fair value</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(1,217)</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(936)</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(3,314)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(5,467)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1,261</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589</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2,615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4,465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2022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79"/>
              </w:rPr>
              <w:t>275</w:t>
            </w:r>
          </w:p>
        </w:tc>
        <w:tc>
          <w:tcPr>
            <w:tcW w:w="500" w:type="dxa"/>
            <w:vAlign w:val="bottom"/>
          </w:tcPr>
          <w:p>
            <w:pPr>
              <w:spacing w:after="0"/>
              <w:rPr>
                <w:sz w:val="18"/>
                <w:szCs w:val="18"/>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79"/>
              </w:rPr>
              <w:t>149</w:t>
            </w:r>
          </w:p>
        </w:tc>
        <w:tc>
          <w:tcPr>
            <w:tcW w:w="5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5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Increase in fair value</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440</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4,186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 Decrease in fair value</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Repurchases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(489)</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 Exercises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(771)</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(1,021)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—  </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4,328</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4,328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Kreos A BSA &amp; Kreos B BSA</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Kreos A BSA and Kreos B BSA are measured at fair value using a Black-Scholes valuation model. The main data and assumptions are the following: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As of and for the</w:t>
            </w:r>
          </w:p>
        </w:tc>
        <w:tc>
          <w:tcPr>
            <w:tcW w:w="52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As of May 24, 2023</w:t>
            </w:r>
          </w:p>
        </w:tc>
        <w:tc>
          <w:tcPr>
            <w:tcW w:w="0" w:type="dxa"/>
            <w:vAlign w:val="bottom"/>
          </w:tcPr>
          <w:p>
            <w:pPr>
              <w:spacing w:after="0"/>
              <w:rPr>
                <w:sz w:val="1"/>
                <w:szCs w:val="1"/>
                <w:color w:val="auto"/>
              </w:rPr>
            </w:pPr>
          </w:p>
        </w:tc>
      </w:tr>
      <w:tr>
        <w:trPr>
          <w:trHeight w:val="148"/>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Kreos A BSA—June 1, 2018</w:t>
            </w: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year ended</w:t>
            </w:r>
          </w:p>
        </w:tc>
        <w:tc>
          <w:tcPr>
            <w:tcW w:w="5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date)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A BSA</w:t>
            </w:r>
          </w:p>
        </w:tc>
        <w:tc>
          <w:tcPr>
            <w:tcW w:w="2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7.21</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Residual maturity</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6.6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Dividend</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Fair value of issued Kreos A BSA (in thousands of €)</w:t>
            </w:r>
          </w:p>
        </w:tc>
        <w:tc>
          <w:tcPr>
            <w:tcW w:w="2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As of and for the</w:t>
            </w:r>
          </w:p>
        </w:tc>
        <w:tc>
          <w:tcPr>
            <w:tcW w:w="520" w:type="dxa"/>
            <w:vAlign w:val="bottom"/>
          </w:tcPr>
          <w:p>
            <w:pPr>
              <w:spacing w:after="0"/>
              <w:rPr>
                <w:sz w:val="24"/>
                <w:szCs w:val="2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As of May 24, 2023</w:t>
            </w:r>
          </w:p>
        </w:tc>
        <w:tc>
          <w:tcPr>
            <w:tcW w:w="0" w:type="dxa"/>
            <w:vAlign w:val="bottom"/>
          </w:tcPr>
          <w:p>
            <w:pPr>
              <w:spacing w:after="0"/>
              <w:rPr>
                <w:sz w:val="1"/>
                <w:szCs w:val="1"/>
                <w:color w:val="auto"/>
              </w:rPr>
            </w:pPr>
          </w:p>
        </w:tc>
      </w:tr>
      <w:tr>
        <w:trPr>
          <w:trHeight w:val="148"/>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Kreos B BSA—June 1, 2019</w:t>
            </w: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year ended</w:t>
            </w:r>
          </w:p>
        </w:tc>
        <w:tc>
          <w:tcPr>
            <w:tcW w:w="5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date)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B BSA</w:t>
            </w:r>
          </w:p>
        </w:tc>
        <w:tc>
          <w:tcPr>
            <w:tcW w:w="2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10.7</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Residual maturity</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7.4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Dividend</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Fair value of issued Kreos B BSA (in thousands of €)</w:t>
            </w:r>
          </w:p>
        </w:tc>
        <w:tc>
          <w:tcPr>
            <w:tcW w:w="2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900" w:type="dxa"/>
            <w:vAlign w:val="bottom"/>
            <w:gridSpan w:val="2"/>
          </w:tcPr>
          <w:p>
            <w:pPr>
              <w:ind w:left="660"/>
              <w:spacing w:after="0"/>
              <w:rPr>
                <w:sz w:val="20"/>
                <w:szCs w:val="20"/>
                <w:color w:val="auto"/>
              </w:rPr>
            </w:pPr>
            <w:r>
              <w:rPr>
                <w:rFonts w:ascii="Arial" w:cs="Arial" w:eastAsia="Arial" w:hAnsi="Arial"/>
                <w:sz w:val="18"/>
                <w:szCs w:val="18"/>
                <w:color w:val="auto"/>
              </w:rPr>
              <w:t>F-86</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As of December 31, 2022, using the same assumptions with an increase of +1% volatility, €+1share price and +1% risk-free rate would result in an increase of Kreos A&amp;B BSA fair value of €6 thousand, €78 thousand, and €12 thousand, respectively.</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On May 24, 2023, the holders opted for the cashless exercise option of the share warrants they held. At this date, the fair value of exercised warrants of €1,850 thousand was reclassified from derivative financial liabilities to equity. As of this date, due to the put option being exercised by the holders, the fair value of the BSAs is deemed equal to their intrinsic value, which is equal to the difference between the share price on May 24, 2023 and their exercise price.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OCEANE</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December 31, 2022 and June 30, 2023, the OCEANE were measured at fair value based on a Monte Carlo model using a Longstaff and Schwartz algorithm based on the following assumptions: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OCEANE</w:t>
            </w:r>
          </w:p>
        </w:tc>
        <w:tc>
          <w:tcPr>
            <w:tcW w:w="1400" w:type="dxa"/>
            <w:vAlign w:val="bottom"/>
          </w:tcPr>
          <w:p>
            <w:pPr>
              <w:spacing w:after="0"/>
              <w:rPr>
                <w:sz w:val="14"/>
                <w:szCs w:val="14"/>
                <w:color w:val="auto"/>
              </w:rPr>
            </w:pPr>
          </w:p>
        </w:tc>
        <w:tc>
          <w:tcPr>
            <w:tcW w:w="276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1"/>
              </w:rPr>
              <w:t>As of and for the year</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As of and for the period</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December 31, 2022</w:t>
            </w:r>
          </w:p>
        </w:tc>
        <w:tc>
          <w:tcPr>
            <w:tcW w:w="1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Credit spread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2"/>
          </w:tcPr>
          <w:p>
            <w:pPr>
              <w:jc w:val="right"/>
              <w:ind w:right="1420"/>
              <w:spacing w:after="0"/>
              <w:rPr>
                <w:sz w:val="20"/>
                <w:szCs w:val="20"/>
                <w:color w:val="auto"/>
              </w:rPr>
            </w:pPr>
            <w:r>
              <w:rPr>
                <w:rFonts w:ascii="Arial" w:cs="Arial" w:eastAsia="Arial" w:hAnsi="Arial"/>
                <w:sz w:val="18"/>
                <w:szCs w:val="18"/>
                <w:color w:val="auto"/>
              </w:rPr>
              <w:t>1475,10 bp</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1376,20 bp</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480" w:type="dxa"/>
            <w:vAlign w:val="bottom"/>
            <w:gridSpan w:val="2"/>
            <w:shd w:val="clear" w:color="auto" w:fill="CCEEFF"/>
          </w:tcPr>
          <w:p>
            <w:pPr>
              <w:ind w:left="1400"/>
              <w:spacing w:after="0"/>
              <w:rPr>
                <w:sz w:val="20"/>
                <w:szCs w:val="20"/>
                <w:color w:val="auto"/>
              </w:rPr>
            </w:pPr>
            <w:r>
              <w:rPr>
                <w:rFonts w:ascii="Arial" w:cs="Arial" w:eastAsia="Arial" w:hAnsi="Arial"/>
                <w:sz w:val="15"/>
                <w:szCs w:val="15"/>
                <w:color w:val="auto"/>
                <w:w w:val="71"/>
              </w:rPr>
              <w:t>€</w:t>
            </w:r>
          </w:p>
        </w:tc>
        <w:tc>
          <w:tcPr>
            <w:tcW w:w="268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term</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2"/>
          </w:tcPr>
          <w:p>
            <w:pPr>
              <w:jc w:val="right"/>
              <w:ind w:right="1420"/>
              <w:spacing w:after="0"/>
              <w:rPr>
                <w:sz w:val="20"/>
                <w:szCs w:val="20"/>
                <w:color w:val="auto"/>
              </w:rPr>
            </w:pPr>
            <w:r>
              <w:rPr>
                <w:rFonts w:ascii="Arial" w:cs="Arial" w:eastAsia="Arial" w:hAnsi="Arial"/>
                <w:sz w:val="18"/>
                <w:szCs w:val="18"/>
                <w:color w:val="auto"/>
              </w:rPr>
              <w:t>July 21, 2026</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July 21, 2026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Dividend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2"/>
          </w:tcPr>
          <w:p>
            <w:pPr>
              <w:jc w:val="right"/>
              <w:ind w:right="1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issued OCEANE (in thousands of €)</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b w:val="1"/>
                <w:bCs w:val="1"/>
                <w:color w:val="auto"/>
              </w:rPr>
              <w:t>142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4,328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2022, using the same assumptions, an increase of +1% volatility, €+1 share price and +1% risk free rate would result in an increase of the OCEANE conversion option fair value of €17 thousand, €97 thousand, and €15 thousand respectively.</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June 30, 2023, using the same assumptions, an increase of +1% volatility, €+1 share price and +1% risk free rate would result in an increase of the OCEANE conversion option fair value of €75 thousand, €493 thousand, and €103 thousand respectively.</w:t>
      </w:r>
    </w:p>
    <w:p>
      <w:pPr>
        <w:spacing w:after="0" w:line="170"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On August 24, 2023, following the repayment in full of the outstanding OCEANE, for an amount of €25,102 thousand, using the proceeds from the new Kreos / Claret and Heights Financings (see Note 3.3), the derivative financial liability related to the conversion option was derecognized.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15.10. Breakdown of financial liabilities by maturity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maturities of financial liabilities are presented below as of December 31, 2022 and June 30,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CURRENT AND NON-CURRENT</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AS OF DECEMBER 31, 2022</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300" w:type="dxa"/>
            <w:vAlign w:val="bottom"/>
            <w:vMerge w:val="continue"/>
          </w:tcPr>
          <w:p>
            <w:pPr>
              <w:spacing w:after="0"/>
              <w:rPr>
                <w:sz w:val="9"/>
                <w:szCs w:val="9"/>
                <w:color w:val="auto"/>
              </w:rPr>
            </w:pPr>
          </w:p>
        </w:tc>
        <w:tc>
          <w:tcPr>
            <w:tcW w:w="13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GROSS</w:t>
            </w:r>
          </w:p>
        </w:tc>
        <w:tc>
          <w:tcPr>
            <w:tcW w:w="15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8"/>
              </w:rPr>
              <w:t>LESS THAN 1</w:t>
            </w: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FROM 1 TO 5</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LONGER THAN 5</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13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20"/>
                <w:szCs w:val="20"/>
                <w:color w:val="auto"/>
              </w:rPr>
            </w:pPr>
            <w:r>
              <w:rPr>
                <w:rFonts w:ascii="Arial" w:cs="Arial" w:eastAsia="Arial" w:hAnsi="Arial"/>
                <w:sz w:val="14"/>
                <w:szCs w:val="14"/>
                <w:b w:val="1"/>
                <w:bCs w:val="1"/>
                <w:color w:val="auto"/>
              </w:rPr>
              <w:t>(amounts in thousands of euros)</w:t>
            </w: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5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YEAR</w:t>
            </w: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YEARS</w:t>
            </w: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6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1"/>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Oceane</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19,957</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625</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19,332</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3,558</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6,783</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3,521</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3,262</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3,287</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3,287</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Lease liabilities</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1,384</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545</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839</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49,797</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35,150</w:t>
            </w:r>
          </w:p>
        </w:tc>
        <w:tc>
          <w:tcPr>
            <w:tcW w:w="66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b w:val="1"/>
                <w:bCs w:val="1"/>
                <w:color w:val="auto"/>
                <w:w w:val="86"/>
              </w:rPr>
              <w:t>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00" w:type="dxa"/>
            <w:vAlign w:val="bottom"/>
          </w:tcPr>
          <w:p>
            <w:pPr>
              <w:spacing w:after="0"/>
              <w:rPr>
                <w:sz w:val="24"/>
                <w:szCs w:val="24"/>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8"/>
                <w:szCs w:val="18"/>
                <w:color w:val="auto"/>
                <w:w w:val="97"/>
              </w:rPr>
              <w:t>F-87</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CURRENT AND NON-CURRENT FINANCIAL LIABILITIES</w:t>
            </w:r>
          </w:p>
        </w:tc>
        <w:tc>
          <w:tcPr>
            <w:tcW w:w="12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4"/>
              </w:rPr>
              <w:t>GROSS</w:t>
            </w:r>
          </w:p>
        </w:tc>
        <w:tc>
          <w:tcPr>
            <w:tcW w:w="27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OF JUNE 30, 2023</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LONGER THAN 5</w:t>
            </w:r>
          </w:p>
        </w:tc>
        <w:tc>
          <w:tcPr>
            <w:tcW w:w="0" w:type="dxa"/>
            <w:vAlign w:val="bottom"/>
          </w:tcPr>
          <w:p>
            <w:pPr>
              <w:spacing w:after="0"/>
              <w:rPr>
                <w:sz w:val="1"/>
                <w:szCs w:val="1"/>
                <w:color w:val="auto"/>
              </w:rPr>
            </w:pPr>
          </w:p>
        </w:tc>
      </w:tr>
      <w:tr>
        <w:trPr>
          <w:trHeight w:val="149"/>
        </w:trPr>
        <w:tc>
          <w:tcPr>
            <w:tcW w:w="582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LESS THAN</w:t>
            </w: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FROM 1 TO</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color w:val="auto"/>
              </w:rPr>
              <w:t>(amounts in thousands of euros)</w:t>
            </w: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1 YEAR</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5 YEARS</w:t>
            </w: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5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1"/>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Oceane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20,589</w:t>
            </w:r>
          </w:p>
        </w:tc>
        <w:tc>
          <w:tcPr>
            <w:tcW w:w="5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625</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19,964</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1,252</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2,367</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6,780</w:t>
            </w:r>
          </w:p>
        </w:tc>
        <w:tc>
          <w:tcPr>
            <w:tcW w:w="5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3,012</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3,769</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548</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566</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Royalty certificates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10,618</w:t>
            </w:r>
          </w:p>
        </w:tc>
        <w:tc>
          <w:tcPr>
            <w:tcW w:w="5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3,230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4,328</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4,328</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56,414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12,667</w:t>
            </w:r>
          </w:p>
        </w:tc>
        <w:tc>
          <w:tcPr>
            <w:tcW w:w="5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36,359</w:t>
            </w:r>
          </w:p>
        </w:tc>
        <w:tc>
          <w:tcPr>
            <w:tcW w:w="5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Retirement benefit obligations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Retirement benefit obligations include the liability for the defined benefit plan, measured based on the provisions stipulated under the applicable collective agreements, i.e., the French pharmaceutical industry’s collective agreement. This commitment only applies to employees subject to French law. The main actuarial assumptions used to measure the retirement benefit obligations are as follows:</w:t>
      </w:r>
    </w:p>
    <w:p>
      <w:pPr>
        <w:sectPr>
          <w:pgSz w:w="11900" w:h="16838" w:orient="portrait"/>
          <w:cols w:equalWidth="0" w:num="1">
            <w:col w:w="11140"/>
          </w:cols>
          <w:pgMar w:left="320" w:top="459" w:right="439" w:bottom="1440" w:gutter="0" w:footer="0" w:header="0"/>
        </w:sect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ACTUARIAL ASSUMPTIONS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Retirement age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Collective agreement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Discount Rate (IBoxx Corporates AA)</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Mortality rate table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Salary increase rate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Turnover rate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Employee contribution rate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15240</wp:posOffset>
            </wp:positionV>
            <wp:extent cx="3703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 w:lineRule="exact"/>
        <w:rPr>
          <w:sz w:val="20"/>
          <w:szCs w:val="20"/>
          <w:color w:val="auto"/>
        </w:rPr>
      </w:pPr>
    </w:p>
    <w:p>
      <w:pPr>
        <w:ind w:left="300"/>
        <w:spacing w:after="0"/>
        <w:tabs>
          <w:tab w:leader="none" w:pos="3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8255</wp:posOffset>
            </wp:positionV>
            <wp:extent cx="6995160"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2"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65 years for key management / 63 years for other employees</w:t>
      </w:r>
    </w:p>
    <w:p>
      <w:pPr>
        <w:spacing w:after="0" w:line="55"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Pharmaceutical industry</w:t>
      </w:r>
    </w:p>
    <w:p>
      <w:pPr>
        <w:ind w:left="260"/>
        <w:spacing w:after="0"/>
        <w:tabs>
          <w:tab w:leader="none" w:pos="322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2"/>
          <w:szCs w:val="12"/>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-97155</wp:posOffset>
            </wp:positionV>
            <wp:extent cx="6995160" cy="939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INSEE 2016-2018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3810</wp:posOffset>
            </wp:positionV>
            <wp:extent cx="6995160" cy="1371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3% for key management / 2.55% for other employees</w:t>
      </w:r>
    </w:p>
    <w:p>
      <w:pPr>
        <w:spacing w:after="0" w:line="55" w:lineRule="exact"/>
        <w:rPr>
          <w:sz w:val="20"/>
          <w:szCs w:val="20"/>
          <w:color w:val="auto"/>
        </w:rPr>
      </w:pPr>
    </w:p>
    <w:p>
      <w:pPr>
        <w:jc w:val="center"/>
        <w:ind w:right="980"/>
        <w:spacing w:after="0"/>
        <w:rPr>
          <w:sz w:val="20"/>
          <w:szCs w:val="20"/>
          <w:color w:val="auto"/>
        </w:rPr>
      </w:pPr>
      <w:r>
        <w:rPr>
          <w:rFonts w:ascii="Arial" w:cs="Arial" w:eastAsia="Arial" w:hAnsi="Arial"/>
          <w:sz w:val="13"/>
          <w:szCs w:val="13"/>
          <w:color w:val="auto"/>
        </w:rPr>
        <w:t>Decreasing from 5.80% at 20 years-old to 0.05% from 55 years-old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11430</wp:posOffset>
            </wp:positionV>
            <wp:extent cx="699516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7"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45%</w:t>
      </w:r>
    </w:p>
    <w:p>
      <w:pPr>
        <w:spacing w:after="0" w:line="200" w:lineRule="exact"/>
        <w:rPr>
          <w:sz w:val="20"/>
          <w:szCs w:val="20"/>
          <w:color w:val="auto"/>
        </w:rPr>
      </w:pPr>
    </w:p>
    <w:p>
      <w:pPr>
        <w:sectPr>
          <w:pgSz w:w="11900" w:h="16838" w:orient="portrait"/>
          <w:cols w:equalWidth="0" w:num="2">
            <w:col w:w="5560" w:space="720"/>
            <w:col w:w="4860"/>
          </w:cols>
          <w:pgMar w:left="320" w:top="459" w:right="439" w:bottom="1440" w:gutter="0" w:footer="0" w:header="0"/>
          <w:type w:val="continuous"/>
        </w:sectPr>
      </w:pP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projected benefit obligation for the periods presented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RETIREMENT BENEFIT</w:t>
            </w:r>
          </w:p>
        </w:tc>
        <w:tc>
          <w:tcPr>
            <w:tcW w:w="0" w:type="dxa"/>
            <w:vAlign w:val="bottom"/>
          </w:tcPr>
          <w:p>
            <w:pPr>
              <w:spacing w:after="0"/>
              <w:rPr>
                <w:sz w:val="1"/>
                <w:szCs w:val="1"/>
                <w:color w:val="auto"/>
              </w:rPr>
            </w:pPr>
          </w:p>
        </w:tc>
      </w:tr>
      <w:tr>
        <w:trPr>
          <w:trHeight w:val="171"/>
        </w:trPr>
        <w:tc>
          <w:tcPr>
            <w:tcW w:w="5040" w:type="dxa"/>
            <w:vAlign w:val="bottom"/>
          </w:tcPr>
          <w:p>
            <w:pPr>
              <w:ind w:left="2880"/>
              <w:spacing w:after="0"/>
              <w:rPr>
                <w:sz w:val="20"/>
                <w:szCs w:val="20"/>
                <w:color w:val="auto"/>
              </w:rPr>
            </w:pPr>
            <w:r>
              <w:rPr>
                <w:rFonts w:ascii="Arial" w:cs="Arial" w:eastAsia="Arial" w:hAnsi="Arial"/>
                <w:sz w:val="14"/>
                <w:szCs w:val="14"/>
                <w:i w:val="1"/>
                <w:iCs w:val="1"/>
                <w:color w:val="auto"/>
              </w:rPr>
              <w:t>(amounts in thousands of euros)</w:t>
            </w:r>
          </w:p>
        </w:tc>
        <w:tc>
          <w:tcPr>
            <w:tcW w:w="4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4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Service cost</w:t>
            </w:r>
          </w:p>
        </w:tc>
        <w:tc>
          <w:tcPr>
            <w:tcW w:w="5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42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Benefits paid</w:t>
            </w:r>
          </w:p>
        </w:tc>
        <w:tc>
          <w:tcPr>
            <w:tcW w:w="42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5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42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Actuarial gains and losses</w:t>
            </w:r>
          </w:p>
        </w:tc>
        <w:tc>
          <w:tcPr>
            <w:tcW w:w="4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4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594</w:t>
            </w:r>
          </w:p>
        </w:tc>
        <w:tc>
          <w:tcPr>
            <w:tcW w:w="0" w:type="dxa"/>
            <w:vAlign w:val="bottom"/>
          </w:tcPr>
          <w:p>
            <w:pPr>
              <w:spacing w:after="0"/>
              <w:rPr>
                <w:sz w:val="1"/>
                <w:szCs w:val="1"/>
                <w:color w:val="auto"/>
              </w:rPr>
            </w:pPr>
          </w:p>
        </w:tc>
      </w:tr>
      <w:tr>
        <w:trPr>
          <w:trHeight w:val="372"/>
        </w:trPr>
        <w:tc>
          <w:tcPr>
            <w:tcW w:w="5040" w:type="dxa"/>
            <w:vAlign w:val="bottom"/>
          </w:tcPr>
          <w:p>
            <w:pPr>
              <w:spacing w:after="0"/>
              <w:rPr>
                <w:sz w:val="24"/>
                <w:szCs w:val="24"/>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F-88</w:t>
            </w: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355" w:name="page356"/>
    <w:bookmarkEnd w:id="3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Payables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17.1. Trade payables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payables and other current liabilities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of euros)</w:t>
            </w: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8"/>
              </w:rPr>
              <w:t>AS OF</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AS OF</w:t>
            </w:r>
          </w:p>
        </w:tc>
        <w:tc>
          <w:tcPr>
            <w:tcW w:w="0" w:type="dxa"/>
            <w:vAlign w:val="bottom"/>
          </w:tcPr>
          <w:p>
            <w:pPr>
              <w:spacing w:after="0"/>
              <w:rPr>
                <w:sz w:val="1"/>
                <w:szCs w:val="1"/>
                <w:color w:val="auto"/>
              </w:rPr>
            </w:pPr>
          </w:p>
        </w:tc>
      </w:tr>
      <w:tr>
        <w:trPr>
          <w:trHeight w:val="144"/>
        </w:trPr>
        <w:tc>
          <w:tcPr>
            <w:tcW w:w="8740" w:type="dxa"/>
            <w:vAlign w:val="bottom"/>
            <w:vMerge w:val="continue"/>
          </w:tcPr>
          <w:p>
            <w:pPr>
              <w:spacing w:after="0"/>
              <w:rPr>
                <w:sz w:val="12"/>
                <w:szCs w:val="12"/>
                <w:color w:val="auto"/>
              </w:rPr>
            </w:pPr>
          </w:p>
        </w:tc>
        <w:tc>
          <w:tcPr>
            <w:tcW w:w="1620" w:type="dxa"/>
            <w:vAlign w:val="bottom"/>
            <w:gridSpan w:val="3"/>
          </w:tcPr>
          <w:p>
            <w:pPr>
              <w:jc w:val="center"/>
              <w:ind w:right="580"/>
              <w:spacing w:after="0" w:line="145" w:lineRule="exact"/>
              <w:rPr>
                <w:sz w:val="20"/>
                <w:szCs w:val="20"/>
                <w:color w:val="auto"/>
              </w:rPr>
            </w:pPr>
            <w:r>
              <w:rPr>
                <w:rFonts w:ascii="Arial" w:cs="Arial" w:eastAsia="Arial" w:hAnsi="Arial"/>
                <w:sz w:val="14"/>
                <w:szCs w:val="14"/>
                <w:b w:val="1"/>
                <w:bCs w:val="1"/>
                <w:color w:val="auto"/>
              </w:rPr>
              <w:t>DECEMBER 31,</w:t>
            </w:r>
          </w:p>
        </w:tc>
        <w:tc>
          <w:tcPr>
            <w:tcW w:w="6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75"/>
        </w:trPr>
        <w:tc>
          <w:tcPr>
            <w:tcW w:w="8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TRADE PAYABLES AND OTHER CURRENT LIABILITIES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Accrued invoices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7,250</w:t>
            </w:r>
          </w:p>
        </w:tc>
        <w:tc>
          <w:tcPr>
            <w:tcW w:w="5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Trade payables and other current liabilities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15,475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trade payables and accrued invoices is consistent with the increase in operating expenses over the period.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17.2. Tax and employee-related payables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and employee-related payables are presented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of euros)</w:t>
            </w:r>
          </w:p>
        </w:tc>
        <w:tc>
          <w:tcPr>
            <w:tcW w:w="1720" w:type="dxa"/>
            <w:vAlign w:val="bottom"/>
            <w:gridSpan w:val="3"/>
          </w:tcPr>
          <w:p>
            <w:pPr>
              <w:ind w:left="320"/>
              <w:spacing w:after="0"/>
              <w:rPr>
                <w:sz w:val="20"/>
                <w:szCs w:val="20"/>
                <w:color w:val="auto"/>
              </w:rPr>
            </w:pPr>
            <w:r>
              <w:rPr>
                <w:rFonts w:ascii="Arial" w:cs="Arial" w:eastAsia="Arial" w:hAnsi="Arial"/>
                <w:sz w:val="14"/>
                <w:szCs w:val="14"/>
                <w:b w:val="1"/>
                <w:bCs w:val="1"/>
                <w:color w:val="auto"/>
              </w:rPr>
              <w:t>AS OF</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AS OF</w:t>
            </w:r>
          </w:p>
        </w:tc>
        <w:tc>
          <w:tcPr>
            <w:tcW w:w="0" w:type="dxa"/>
            <w:vAlign w:val="bottom"/>
          </w:tcPr>
          <w:p>
            <w:pPr>
              <w:spacing w:after="0"/>
              <w:rPr>
                <w:sz w:val="1"/>
                <w:szCs w:val="1"/>
                <w:color w:val="auto"/>
              </w:rPr>
            </w:pPr>
          </w:p>
        </w:tc>
      </w:tr>
      <w:tr>
        <w:trPr>
          <w:trHeight w:val="144"/>
        </w:trPr>
        <w:tc>
          <w:tcPr>
            <w:tcW w:w="8640" w:type="dxa"/>
            <w:vAlign w:val="bottom"/>
            <w:vMerge w:val="continue"/>
          </w:tcPr>
          <w:p>
            <w:pPr>
              <w:spacing w:after="0"/>
              <w:rPr>
                <w:sz w:val="12"/>
                <w:szCs w:val="12"/>
                <w:color w:val="auto"/>
              </w:rPr>
            </w:pPr>
          </w:p>
        </w:tc>
        <w:tc>
          <w:tcPr>
            <w:tcW w:w="1720" w:type="dxa"/>
            <w:vAlign w:val="bottom"/>
            <w:gridSpan w:val="3"/>
          </w:tcPr>
          <w:p>
            <w:pPr>
              <w:jc w:val="right"/>
              <w:ind w:right="680"/>
              <w:spacing w:after="0" w:line="145" w:lineRule="exact"/>
              <w:rPr>
                <w:sz w:val="20"/>
                <w:szCs w:val="20"/>
                <w:color w:val="auto"/>
              </w:rPr>
            </w:pPr>
            <w:r>
              <w:rPr>
                <w:rFonts w:ascii="Arial" w:cs="Arial" w:eastAsia="Arial" w:hAnsi="Arial"/>
                <w:sz w:val="14"/>
                <w:szCs w:val="14"/>
                <w:b w:val="1"/>
                <w:bCs w:val="1"/>
                <w:color w:val="auto"/>
                <w:w w:val="98"/>
              </w:rPr>
              <w:t>DECEMBER 31,</w:t>
            </w:r>
          </w:p>
        </w:tc>
        <w:tc>
          <w:tcPr>
            <w:tcW w:w="6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76"/>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TAX AND EMPLOYEE-RELATED PAYABLES</w:t>
            </w: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payables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Social security and other</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840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tax and related payments</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b w:val="1"/>
                <w:bCs w:val="1"/>
                <w:color w:val="auto"/>
              </w:rPr>
              <w:t>Tax and employee-related payables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 xml:space="preserve">The increase in employee-related, social security and other payables is mainly related to the changes in management and recruitment of additional experienced employees, including C-levels, over the first half of 2023 (see Note 3.1 </w:t>
      </w:r>
      <w:r>
        <w:rPr>
          <w:rFonts w:ascii="Arial" w:cs="Arial" w:eastAsia="Arial" w:hAnsi="Arial"/>
          <w:sz w:val="18"/>
          <w:szCs w:val="18"/>
          <w:i w:val="1"/>
          <w:iCs w:val="1"/>
          <w:color w:val="auto"/>
        </w:rPr>
        <w:t>Change in governance – August 2022</w:t>
      </w:r>
      <w:r>
        <w:rPr>
          <w:rFonts w:ascii="Arial" w:cs="Arial" w:eastAsia="Arial" w:hAnsi="Arial"/>
          <w:sz w:val="18"/>
          <w:szCs w:val="18"/>
          <w:color w:val="auto"/>
        </w:rPr>
        <w:t xml:space="preserve"> and Note 3.2. </w:t>
      </w:r>
      <w:r>
        <w:rPr>
          <w:rFonts w:ascii="Arial" w:cs="Arial" w:eastAsia="Arial" w:hAnsi="Arial"/>
          <w:sz w:val="18"/>
          <w:szCs w:val="18"/>
          <w:i w:val="1"/>
          <w:iCs w:val="1"/>
          <w:color w:val="auto"/>
        </w:rPr>
        <w:t>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and management – February-July 2023</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Operating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income is composed as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2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9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OPERATING INCOME</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 (“CIR”)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Subsidies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23"/>
        </w:trPr>
        <w:tc>
          <w:tcPr>
            <w:tcW w:w="980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w:t>
            </w:r>
          </w:p>
        </w:tc>
        <w:tc>
          <w:tcPr>
            <w:tcW w:w="8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CIR</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Group carries out research and development projects. As such, it has benefited from a research tax credit for the periods ended June 30, 2022 and 2023 for an amount of €2,217 thousand and €2,235 thousand,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19.1. Sales and marketing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PERIOD ENDED JUNE 30,</w:t>
            </w:r>
          </w:p>
        </w:tc>
      </w:tr>
      <w:tr>
        <w:trPr>
          <w:trHeight w:val="171"/>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SALES AND MARKETING</w:t>
            </w: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Sales and Marketing costs consist of the newly hired employees within the Sales and Marketing Department, including the Chief Commercial Officer (see Note 3.2).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19.2. Research and development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2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10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PERIOD ENDED JUNE 30,</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 2022 </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 2023 </w:t>
            </w:r>
          </w:p>
        </w:tc>
      </w:tr>
      <w:tr>
        <w:trPr>
          <w:trHeight w:val="210"/>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Sub-contracting, studies and research</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Personnel costs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1,072</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2,300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2,288</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Intellectual property fees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r>
      <w:tr>
        <w:trPr>
          <w:trHeight w:val="223"/>
        </w:trPr>
        <w:tc>
          <w:tcPr>
            <w:tcW w:w="892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32,622</w:t>
            </w:r>
          </w:p>
        </w:tc>
        <w:tc>
          <w:tcPr>
            <w:tcW w:w="6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 xml:space="preserve">For the six-month period ended June 30, 2023, the increase in research and development expenses by €17,515 thousand compared to June 30, 2022, is mainly due to an increase in UC expenses, as the Group completed the Phase 2b clinical trial in early 2022 and initiated the Phase 3 clinical trial in the first half of 2022, with the first patient in the United States enrolled in October 2022 (see Note 3.1 </w:t>
      </w:r>
      <w:r>
        <w:rPr>
          <w:rFonts w:ascii="Arial" w:cs="Arial" w:eastAsia="Arial" w:hAnsi="Arial"/>
          <w:sz w:val="18"/>
          <w:szCs w:val="18"/>
          <w:i w:val="1"/>
          <w:iCs w:val="1"/>
          <w:color w:val="auto"/>
        </w:rPr>
        <w:t>The Group announces first US patient enrollment in</w:t>
      </w:r>
      <w:r>
        <w:rPr>
          <w:rFonts w:ascii="Arial" w:cs="Arial" w:eastAsia="Arial" w:hAnsi="Arial"/>
          <w:sz w:val="18"/>
          <w:szCs w:val="18"/>
          <w:color w:val="auto"/>
        </w:rPr>
        <w:t xml:space="preserve"> </w:t>
      </w:r>
      <w:r>
        <w:rPr>
          <w:rFonts w:ascii="Arial" w:cs="Arial" w:eastAsia="Arial" w:hAnsi="Arial"/>
          <w:sz w:val="18"/>
          <w:szCs w:val="18"/>
          <w:i w:val="1"/>
          <w:iCs w:val="1"/>
          <w:color w:val="auto"/>
        </w:rPr>
        <w:t>global Phase 3 program with obefazimod in UC – October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19.3. General and administrative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060" w:type="dxa"/>
            <w:vAlign w:val="bottom"/>
            <w:gridSpan w:val="5"/>
          </w:tcPr>
          <w:p>
            <w:pPr>
              <w:ind w:left="140"/>
              <w:spacing w:after="0"/>
              <w:rPr>
                <w:sz w:val="20"/>
                <w:szCs w:val="20"/>
                <w:color w:val="auto"/>
              </w:rPr>
            </w:pPr>
            <w:r>
              <w:rPr>
                <w:rFonts w:ascii="Arial" w:cs="Arial" w:eastAsia="Arial" w:hAnsi="Arial"/>
                <w:sz w:val="14"/>
                <w:szCs w:val="14"/>
                <w:b w:val="1"/>
                <w:bCs w:val="1"/>
                <w:color w:val="auto"/>
              </w:rPr>
              <w:t>PERIOD ENDED JUNE 30,</w:t>
            </w:r>
          </w:p>
        </w:tc>
      </w:tr>
      <w:tr>
        <w:trPr>
          <w:trHeight w:val="171"/>
        </w:trPr>
        <w:tc>
          <w:tcPr>
            <w:tcW w:w="8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0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1,217</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2,361</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w:t>
            </w:r>
          </w:p>
        </w:tc>
        <w:tc>
          <w:tcPr>
            <w:tcW w:w="6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For the six-month period ended June 30, 2023, the increase in Personnel costs was primarily the result of the changes in management that occurred during the period and the reversal of share-based compensation expenses incurred in 2021 that was recorded in the first half of 2022. The increase in Consulting and professional fees is related to recruitment and legal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Employees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average workforce during the periods ended June 30, 2022 and 2023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3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HEADCOUNTS</w:t>
            </w:r>
          </w:p>
        </w:tc>
        <w:tc>
          <w:tcPr>
            <w:tcW w:w="5360" w:type="dxa"/>
            <w:vAlign w:val="bottom"/>
          </w:tcPr>
          <w:p>
            <w:pPr>
              <w:spacing w:after="0"/>
              <w:rPr>
                <w:sz w:val="12"/>
                <w:szCs w:val="12"/>
                <w:color w:val="auto"/>
              </w:rPr>
            </w:pPr>
          </w:p>
        </w:tc>
        <w:tc>
          <w:tcPr>
            <w:tcW w:w="23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 2022 </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 2023 </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Key management</w:t>
            </w:r>
          </w:p>
        </w:tc>
        <w:tc>
          <w:tcPr>
            <w:tcW w:w="5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employees</w:t>
            </w:r>
          </w:p>
        </w:tc>
        <w:tc>
          <w:tcPr>
            <w:tcW w:w="536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00" w:type="dxa"/>
            <w:vAlign w:val="bottom"/>
          </w:tcPr>
          <w:p>
            <w:pPr>
              <w:spacing w:after="0"/>
              <w:rPr>
                <w:sz w:val="24"/>
                <w:szCs w:val="24"/>
                <w:color w:val="auto"/>
              </w:rPr>
            </w:pPr>
          </w:p>
        </w:tc>
        <w:tc>
          <w:tcPr>
            <w:tcW w:w="6920" w:type="dxa"/>
            <w:vAlign w:val="bottom"/>
            <w:gridSpan w:val="3"/>
          </w:tcPr>
          <w:p>
            <w:pPr>
              <w:jc w:val="right"/>
              <w:ind w:right="4540"/>
              <w:spacing w:after="0"/>
              <w:rPr>
                <w:sz w:val="20"/>
                <w:szCs w:val="20"/>
                <w:color w:val="auto"/>
              </w:rPr>
            </w:pPr>
            <w:r>
              <w:rPr>
                <w:rFonts w:ascii="Arial" w:cs="Arial" w:eastAsia="Arial" w:hAnsi="Arial"/>
                <w:sz w:val="18"/>
                <w:szCs w:val="18"/>
                <w:color w:val="auto"/>
              </w:rPr>
              <w:t>F-90</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Financial gain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loss breaks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0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48"/>
        </w:trPr>
        <w:tc>
          <w:tcPr>
            <w:tcW w:w="902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of euros)</w:t>
            </w:r>
          </w:p>
        </w:tc>
        <w:tc>
          <w:tcPr>
            <w:tcW w:w="2000" w:type="dxa"/>
            <w:vAlign w:val="bottom"/>
            <w:gridSpan w:val="5"/>
          </w:tcPr>
          <w:p>
            <w:pPr>
              <w:jc w:val="right"/>
              <w:ind w:right="441"/>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8"/>
        </w:trPr>
        <w:tc>
          <w:tcPr>
            <w:tcW w:w="9020" w:type="dxa"/>
            <w:vAlign w:val="bottom"/>
            <w:vMerge w:val="restart"/>
          </w:tcPr>
          <w:p>
            <w:pPr>
              <w:spacing w:after="0"/>
              <w:rPr>
                <w:sz w:val="20"/>
                <w:szCs w:val="20"/>
                <w:color w:val="auto"/>
              </w:rPr>
            </w:pPr>
            <w:r>
              <w:rPr>
                <w:rFonts w:ascii="Arial" w:cs="Arial" w:eastAsia="Arial" w:hAnsi="Arial"/>
                <w:sz w:val="14"/>
                <w:szCs w:val="14"/>
                <w:b w:val="1"/>
                <w:bCs w:val="1"/>
                <w:color w:val="auto"/>
              </w:rPr>
              <w:t>FINANCIAL GAIN (LOSS)</w:t>
            </w:r>
          </w:p>
        </w:tc>
        <w:tc>
          <w:tcPr>
            <w:tcW w:w="12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9"/>
              </w:rPr>
              <w:t>  </w:t>
            </w:r>
          </w:p>
        </w:tc>
        <w:tc>
          <w:tcPr>
            <w:tcW w:w="76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71"/>
        </w:trPr>
        <w:tc>
          <w:tcPr>
            <w:tcW w:w="9020" w:type="dxa"/>
            <w:vAlign w:val="bottom"/>
            <w:vMerge w:val="continue"/>
          </w:tcPr>
          <w:p>
            <w:pPr>
              <w:spacing w:after="0"/>
              <w:rPr>
                <w:sz w:val="14"/>
                <w:szCs w:val="1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2022  </w:t>
            </w:r>
          </w:p>
        </w:tc>
        <w:tc>
          <w:tcPr>
            <w:tcW w:w="7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7"/>
              </w:rPr>
              <w:t>2023  </w:t>
            </w:r>
          </w:p>
        </w:tc>
        <w:tc>
          <w:tcPr>
            <w:tcW w:w="0" w:type="dxa"/>
            <w:vAlign w:val="bottom"/>
          </w:tcPr>
          <w:p>
            <w:pPr>
              <w:spacing w:after="0"/>
              <w:rPr>
                <w:sz w:val="1"/>
                <w:szCs w:val="1"/>
                <w:color w:val="auto"/>
              </w:rPr>
            </w:pPr>
          </w:p>
        </w:tc>
      </w:tr>
      <w:tr>
        <w:trPr>
          <w:trHeight w:val="209"/>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Kreos 1 &amp; 2 straight bond loans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on convertible loan notes</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conditional advances</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on royalty certificates</w:t>
            </w: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Decrease/(increase) in derivatives fair value</w:t>
            </w: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(15,030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derivatives fair value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Decrease/(increase) in other liabilities at fair value through profit and loss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1,267</w:t>
            </w:r>
          </w:p>
        </w:tc>
        <w:tc>
          <w:tcPr>
            <w:tcW w:w="62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income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Effect of unwinding the discount related to advances made to CROs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357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Financial gain (loss)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4,849</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ended June 30, 2023, the financial loss mainly relates to:</w:t>
      </w:r>
    </w:p>
    <w:p>
      <w:pPr>
        <w:spacing w:after="0" w:line="131" w:lineRule="exact"/>
        <w:rPr>
          <w:sz w:val="20"/>
          <w:szCs w:val="20"/>
          <w:color w:val="auto"/>
        </w:rPr>
      </w:pPr>
    </w:p>
    <w:p>
      <w:pPr>
        <w:ind w:left="1080" w:right="80" w:hanging="424"/>
        <w:spacing w:after="0" w:line="263"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increase in the fair value of the derivative financial liabilities, i.e. the convertible option related to OCEANE bonds issued in July 2021 and the Kreos 1 &amp; 2 BSA, by respectively €4,186 thousand and €1,426 thousand as a result of a significant change in market conditions and an increase in the share price of the Group (see Note 15.2);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financial expenses related to the royalty certificates of €7,331 thousand (see Note 15.7)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ended June 30, 2022, the financial gain mainly relates to:</w:t>
      </w:r>
    </w:p>
    <w:p>
      <w:pPr>
        <w:spacing w:after="0" w:line="131" w:lineRule="exact"/>
        <w:rPr>
          <w:sz w:val="20"/>
          <w:szCs w:val="20"/>
          <w:color w:val="auto"/>
        </w:rPr>
      </w:pPr>
    </w:p>
    <w:p>
      <w:pPr>
        <w:ind w:left="1080" w:right="80" w:hanging="424"/>
        <w:spacing w:after="0" w:line="263"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decrease in the fair value of the derivatives: as a result of the significant change in market conditions, the fair values of Kreos A BSA, Kreos B BSA and the convertible option related to OCEANE bonds issued in July 2021 decreased by €1,601 thousand, €947 thousand and €3,314 thousand, respectively;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€1,267 thousand decrease in the fair value of the earn-out liability related to the acquisition of Prosynergia.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Income tax</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Group incurred tax losses in the current period and prior years. As the recoverability of these tax losses is not considered probable in subsequent periods due to the uncertainties inherent in the Group’s business, the Group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 in France.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Income (loss) per share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Basic losses per share is calculated by dividing income (loss) attributable to equity holders of the Group by the weighted-average number of outstanding ordinary shares for the year.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Diluted losses per share are calculated by adjusting the weighted average number of ordinary outstanding shares to assume conversion of all dilutive potential ordinary shares.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SIX MONTHS</w:t>
            </w:r>
          </w:p>
        </w:tc>
      </w:tr>
      <w:tr>
        <w:trPr>
          <w:trHeight w:val="149"/>
        </w:trPr>
        <w:tc>
          <w:tcPr>
            <w:tcW w:w="868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of euros, except share data)</w:t>
            </w:r>
          </w:p>
        </w:tc>
        <w:tc>
          <w:tcPr>
            <w:tcW w:w="234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rPr>
              <w:t>ENDED JUNE 30</w:t>
            </w:r>
          </w:p>
        </w:tc>
      </w:tr>
      <w:tr>
        <w:trPr>
          <w:trHeight w:val="171"/>
        </w:trPr>
        <w:tc>
          <w:tcPr>
            <w:tcW w:w="8680" w:type="dxa"/>
            <w:vAlign w:val="bottom"/>
          </w:tcPr>
          <w:p>
            <w:pPr>
              <w:spacing w:after="0"/>
              <w:rPr>
                <w:sz w:val="20"/>
                <w:szCs w:val="20"/>
                <w:color w:val="auto"/>
              </w:rPr>
            </w:pPr>
            <w:r>
              <w:rPr>
                <w:rFonts w:ascii="Arial" w:cs="Arial" w:eastAsia="Arial" w:hAnsi="Arial"/>
                <w:sz w:val="14"/>
                <w:szCs w:val="14"/>
                <w:b w:val="1"/>
                <w:bCs w:val="1"/>
                <w:color w:val="auto"/>
              </w:rPr>
              <w:t>BASIC AND DILUTED LOSS PER SHARE</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  2022  </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  2023  </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outstanding shares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16,759,215</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35,903,802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(21,183)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(51,953)</w:t>
            </w:r>
          </w:p>
        </w:tc>
      </w:tr>
      <w:tr>
        <w:trPr>
          <w:trHeight w:val="27"/>
        </w:trPr>
        <w:tc>
          <w:tcPr>
            <w:tcW w:w="8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(€/share)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(1.45)</w:t>
            </w:r>
          </w:p>
        </w:tc>
      </w:tr>
      <w:tr>
        <w:trPr>
          <w:trHeight w:val="20"/>
        </w:trPr>
        <w:tc>
          <w:tcPr>
            <w:tcW w:w="8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Since net results for the six-month period ended June 30, 2023 and 2022 are losses, potentially dilutive instruments (BCEs, BSAs, AGAs, Equity lines, BSA Kreos 1, OCEANE) have been excluded from the computation of diluted weighted-average shares outstanding, because such instruments had an antidilutive impact. Consequently, the diluted losses per share are the same as the basic losses per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Related parties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Over the period ended June 30, 2023, the Group has not engaged in any transaction with its related parties, other than the compensation paid to the members of the Company’s Board of Directors and to the Chief Executive Officer.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25. Off-balance sheet commitments given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25.1. Commitments under collaboration, research, service provision and licensing agreements granted by the Group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Collaboration, research and development, and licensing agreements, and licensing options related to the “Modulation of RNA biogenesis” platform.</w:t>
      </w:r>
    </w:p>
    <w:p>
      <w:pPr>
        <w:spacing w:after="0" w:line="142" w:lineRule="exact"/>
        <w:rPr>
          <w:sz w:val="20"/>
          <w:szCs w:val="20"/>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b w:val="1"/>
          <w:bCs w:val="1"/>
          <w:i w:val="1"/>
          <w:iCs w:val="1"/>
          <w:color w:val="auto"/>
        </w:rPr>
        <w:t>Exclusive licensing agreement with the CNRS, the University of Montpellier and the Institut Curie</w:t>
      </w:r>
    </w:p>
    <w:p>
      <w:pPr>
        <w:spacing w:after="0" w:line="117" w:lineRule="exact"/>
        <w:rPr>
          <w:rFonts w:ascii="Arial" w:cs="Arial" w:eastAsia="Arial" w:hAnsi="Arial"/>
          <w:sz w:val="18"/>
          <w:szCs w:val="18"/>
          <w:color w:val="auto"/>
        </w:rPr>
      </w:pPr>
    </w:p>
    <w:p>
      <w:pPr>
        <w:ind w:left="1100" w:right="40"/>
        <w:spacing w:after="0" w:line="257" w:lineRule="auto"/>
        <w:rPr>
          <w:rFonts w:ascii="Arial" w:cs="Arial" w:eastAsia="Arial" w:hAnsi="Arial"/>
          <w:sz w:val="18"/>
          <w:szCs w:val="18"/>
          <w:color w:val="auto"/>
        </w:rPr>
      </w:pPr>
      <w:r>
        <w:rPr>
          <w:rFonts w:ascii="Arial" w:cs="Arial" w:eastAsia="Arial" w:hAnsi="Arial"/>
          <w:sz w:val="18"/>
          <w:szCs w:val="18"/>
          <w:color w:val="auto"/>
        </w:rPr>
        <w:t>On December 4, 2008, the French National Centre for Scientific Research (CNRS), the University of Montpellier and the Institut Curie granted the Company four exclusive licenses. These licenses cover the Company’s use of their technology and products in the field of human and veterinary health relating to the use of synthetic products modifying mRNA splicing, for research, diagnosis, prevention and treatment of any possible indication. The licensing agreement includes low single-digit royalties based on future net sales to be paid by the Company.</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b w:val="1"/>
          <w:bCs w:val="1"/>
          <w:i w:val="1"/>
          <w:iCs w:val="1"/>
          <w:color w:val="auto"/>
        </w:rPr>
        <w:t>Fsramework agreement for research collaboration to create a cooperative laboratory (ended December 31, 2021)</w:t>
      </w:r>
    </w:p>
    <w:p>
      <w:pPr>
        <w:spacing w:after="0" w:line="117" w:lineRule="exact"/>
        <w:rPr>
          <w:rFonts w:ascii="Arial" w:cs="Arial" w:eastAsia="Arial" w:hAnsi="Arial"/>
          <w:sz w:val="18"/>
          <w:szCs w:val="18"/>
          <w:color w:val="auto"/>
        </w:rPr>
      </w:pPr>
    </w:p>
    <w:p>
      <w:pPr>
        <w:ind w:left="1100" w:right="60"/>
        <w:spacing w:after="0" w:line="291" w:lineRule="auto"/>
        <w:rPr>
          <w:rFonts w:ascii="Arial" w:cs="Arial" w:eastAsia="Arial" w:hAnsi="Arial"/>
          <w:sz w:val="18"/>
          <w:szCs w:val="18"/>
          <w:color w:val="auto"/>
        </w:rPr>
      </w:pPr>
      <w:r>
        <w:rPr>
          <w:rFonts w:ascii="Arial" w:cs="Arial" w:eastAsia="Arial" w:hAnsi="Arial"/>
          <w:sz w:val="16"/>
          <w:szCs w:val="16"/>
          <w:color w:val="auto"/>
        </w:rPr>
        <w:t>On December 11, 2008, the Company, the CNRS (French National Centre for Scientific Research) and the University of Montpellier entered into a research collaboration agreement for a duration of two years in order to conduct a common research program in the fields of screening and development of anti-HIV and antiviral compounds, anti-cancer and anti-metastasis compounds and compounds targeting certain genetic diseases. The term and content of research programs have been changed by successive amendments in force until December 31, 2021. Each party retains ownership of its previously acquired intellectual property rights. The parties are co-owners of the research results. Since this agreement ended on December 31, 2021, a hosting agreement was signed with CNRS in 2022, and renewed up until December 31, 2023, so that the Company can continue its research program at the CNRS center for the year 2023.</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agreement with the CNRS, the University of Montpellier, the Company and Evotec</w:t>
      </w:r>
    </w:p>
    <w:p>
      <w:pPr>
        <w:spacing w:after="0" w:line="117" w:lineRule="exact"/>
        <w:rPr>
          <w:rFonts w:ascii="Arial" w:cs="Arial" w:eastAsia="Arial" w:hAnsi="Arial"/>
          <w:sz w:val="18"/>
          <w:szCs w:val="18"/>
          <w:color w:val="auto"/>
        </w:rPr>
      </w:pPr>
    </w:p>
    <w:p>
      <w:pPr>
        <w:ind w:left="1100" w:right="820"/>
        <w:spacing w:after="0" w:line="277" w:lineRule="auto"/>
        <w:rPr>
          <w:rFonts w:ascii="Arial" w:cs="Arial" w:eastAsia="Arial" w:hAnsi="Arial"/>
          <w:sz w:val="18"/>
          <w:szCs w:val="18"/>
          <w:color w:val="auto"/>
        </w:rPr>
      </w:pPr>
      <w:r>
        <w:rPr>
          <w:rFonts w:ascii="Arial" w:cs="Arial" w:eastAsia="Arial" w:hAnsi="Arial"/>
          <w:sz w:val="18"/>
          <w:szCs w:val="18"/>
          <w:color w:val="auto"/>
        </w:rPr>
        <w:t>In support of the development of the cooperative laboratory, the CNRS, the University of Montpellier, the Company and Evotec International GmbH have entered into a collaboration agreement on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40"/>
          </w:cols>
          <w:pgMar w:left="320" w:top="459" w:right="4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311" w:lineRule="auto"/>
        <w:rPr>
          <w:sz w:val="20"/>
          <w:szCs w:val="20"/>
          <w:color w:val="auto"/>
        </w:rPr>
      </w:pPr>
      <w:r>
        <w:rPr>
          <w:rFonts w:ascii="Arial" w:cs="Arial" w:eastAsia="Arial" w:hAnsi="Arial"/>
          <w:sz w:val="16"/>
          <w:szCs w:val="16"/>
          <w:color w:val="auto"/>
        </w:rPr>
        <w:t>development of the “Modulation of RNA biogenesis” platform, effective October 19, 2018. The molecules generated in the framework of this collaboration are the property of the Company, the University of Montpellier and the CNRS under the same terms and conditions as the research collaboration agreement on the creation of the cooperative laboratory. The agreement ended on December 31, 2021.</w:t>
      </w:r>
    </w:p>
    <w:p>
      <w:pPr>
        <w:spacing w:after="0" w:line="54" w:lineRule="exact"/>
        <w:rPr>
          <w:sz w:val="20"/>
          <w:szCs w:val="20"/>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Research collaboration contract with the CNRS, the University of Montpellier and the Institut Curie</w:t>
      </w:r>
    </w:p>
    <w:p>
      <w:pPr>
        <w:spacing w:after="0" w:line="117" w:lineRule="exact"/>
        <w:rPr>
          <w:rFonts w:ascii="Arial" w:cs="Arial" w:eastAsia="Arial" w:hAnsi="Arial"/>
          <w:sz w:val="18"/>
          <w:szCs w:val="18"/>
          <w:color w:val="auto"/>
        </w:rPr>
      </w:pPr>
    </w:p>
    <w:p>
      <w:pPr>
        <w:ind w:left="1100" w:right="80"/>
        <w:spacing w:after="0" w:line="257" w:lineRule="auto"/>
        <w:rPr>
          <w:rFonts w:ascii="Arial" w:cs="Arial" w:eastAsia="Arial" w:hAnsi="Arial"/>
          <w:sz w:val="18"/>
          <w:szCs w:val="18"/>
          <w:color w:val="auto"/>
        </w:rPr>
      </w:pPr>
      <w:r>
        <w:rPr>
          <w:rFonts w:ascii="Arial" w:cs="Arial" w:eastAsia="Arial" w:hAnsi="Arial"/>
          <w:sz w:val="18"/>
          <w:szCs w:val="18"/>
          <w:color w:val="auto"/>
        </w:rPr>
        <w:t>Concomitantly with the research collaboration framework contract relating to the creation of a cooperative laboratory, the parties have signed a financial agreement defining the financial terms for the exploitation of patents. This contract was signed on April 15, 2009 for a duration of one year and was subsequently renewed up until March 31, 2022. In December 2022, Abivax and the Institut Curie concluded a new contract for a duration of one year, renewable by amendment, granting Abivax access to some of the Institute’s equipment and consumables.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contract with license option with the CNRS, the University of Montpellier and Theradiag</w:t>
      </w:r>
    </w:p>
    <w:p>
      <w:pPr>
        <w:spacing w:after="0" w:line="117" w:lineRule="exact"/>
        <w:rPr>
          <w:rFonts w:ascii="Arial" w:cs="Arial" w:eastAsia="Arial" w:hAnsi="Arial"/>
          <w:sz w:val="18"/>
          <w:szCs w:val="18"/>
          <w:color w:val="auto"/>
        </w:rPr>
      </w:pPr>
    </w:p>
    <w:p>
      <w:pPr>
        <w:ind w:left="1100" w:right="20"/>
        <w:spacing w:after="0" w:line="257" w:lineRule="auto"/>
        <w:rPr>
          <w:rFonts w:ascii="Arial" w:cs="Arial" w:eastAsia="Arial" w:hAnsi="Arial"/>
          <w:sz w:val="18"/>
          <w:szCs w:val="18"/>
          <w:color w:val="auto"/>
        </w:rPr>
      </w:pPr>
      <w:r>
        <w:rPr>
          <w:rFonts w:ascii="Arial" w:cs="Arial" w:eastAsia="Arial" w:hAnsi="Arial"/>
          <w:sz w:val="18"/>
          <w:szCs w:val="18"/>
          <w:color w:val="auto"/>
        </w:rPr>
        <w:t>The CNRS, the University of Montpellier, the Company and Theradiag have set up a collaborative project called CARENA, which has been in operation since February 8, 2013. Its purpose is to conduct joint research and development programs in the fields of obesity, HIV and HTLV-1, in connection with the funding obtained through the Bpifrance CARENA project. On February 18, 2015, Bpifrance accepted the reorganization of the “CARENA” project proposed by the Company, following the abandonment of the obesity project. At this time, Theradiag is no longer involved in the collaborative project.</w:t>
      </w:r>
    </w:p>
    <w:p>
      <w:pPr>
        <w:spacing w:after="0" w:line="79" w:lineRule="exact"/>
        <w:rPr>
          <w:rFonts w:ascii="Arial" w:cs="Arial" w:eastAsia="Arial" w:hAnsi="Arial"/>
          <w:sz w:val="18"/>
          <w:szCs w:val="18"/>
          <w:color w:val="auto"/>
        </w:rPr>
      </w:pPr>
    </w:p>
    <w:p>
      <w:pPr>
        <w:ind w:left="1100" w:right="20"/>
        <w:spacing w:after="0" w:line="275" w:lineRule="auto"/>
        <w:rPr>
          <w:rFonts w:ascii="Arial" w:cs="Arial" w:eastAsia="Arial" w:hAnsi="Arial"/>
          <w:sz w:val="18"/>
          <w:szCs w:val="18"/>
          <w:color w:val="auto"/>
        </w:rPr>
      </w:pPr>
      <w:r>
        <w:rPr>
          <w:rFonts w:ascii="Arial" w:cs="Arial" w:eastAsia="Arial" w:hAnsi="Arial"/>
          <w:sz w:val="17"/>
          <w:szCs w:val="17"/>
          <w:color w:val="auto"/>
        </w:rPr>
        <w:t>Under the terms of the collaborative project, the Company will have the exclusive and global exploitation rights to the proprietary results of the CNRS and to those of the University of Montpellier as well as a share of the common results of which the CNRS and the University of Montpellier are co-owners. Furthermore, Theradiag granted the Company an exclusive and global license option for exploitation of its own results as well as a share of the common results of which it will be a co-owner. This option may be exercised by the Company throughout the duration of the contract and within a period of two years after its expiration or cancellation.</w:t>
      </w:r>
    </w:p>
    <w:p>
      <w:pPr>
        <w:spacing w:after="0" w:line="284"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i w:val="1"/>
          <w:iCs w:val="1"/>
          <w:color w:val="auto"/>
        </w:rPr>
        <w:t>Exclusive licensing contract with “The Scripps Research Institute, University of Chicago and Brigham Young University” with the “Immune Stimulation” platform (ABX196 product)</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November 11, 2006, The Scripps Research Institute (La Jolla, California, USA), in agreement with the University of Chicago (Chicago, Illinois, USA) and Brigham Young University (Provo, Utah, USA), granted the Company an exclusive license in the field of human and veterinary health on its technology and products relating to the use of iNKT agonists for research, diagnosis, prevention and treatment of all possible indications. In consideration for the licensing rights granted to it under the agreement, the Company must:</w:t>
      </w:r>
    </w:p>
    <w:p>
      <w:pPr>
        <w:spacing w:after="0" w:line="92" w:lineRule="exact"/>
        <w:rPr>
          <w:sz w:val="20"/>
          <w:szCs w:val="20"/>
          <w:color w:val="auto"/>
        </w:rPr>
      </w:pPr>
    </w:p>
    <w:p>
      <w:pPr>
        <w:ind w:left="1080" w:hanging="424"/>
        <w:spacing w:after="0" w:line="311" w:lineRule="auto"/>
        <w:tabs>
          <w:tab w:leader="none" w:pos="10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pay The Scripps Research Institute milestones at different stages of clinical and regulatory development of the first product (the milestones amount to $50 thousand at IND filing, paid in September 2019 and capitalized, $300 thousand at Phase 3 and $500 thousand at IND approval) and low single-digit royalties for vaccines, diagnostic tests and therapeutic products, according to the amount of net sales, and</w:t>
      </w:r>
    </w:p>
    <w:p>
      <w:pPr>
        <w:spacing w:after="0" w:line="54" w:lineRule="exact"/>
        <w:rPr>
          <w:rFonts w:ascii="Arial" w:cs="Arial" w:eastAsia="Arial" w:hAnsi="Arial"/>
          <w:sz w:val="16"/>
          <w:szCs w:val="16"/>
          <w:color w:val="auto"/>
        </w:rPr>
      </w:pPr>
    </w:p>
    <w:p>
      <w:pPr>
        <w:ind w:left="1080" w:right="60" w:hanging="424"/>
        <w:spacing w:after="0" w:line="308" w:lineRule="auto"/>
        <w:tabs>
          <w:tab w:leader="none" w:pos="10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give The Scripps Research Institute, University of Chicago and Brigham Young University an equitable interest in the Company (as of the date of these financial statements, these three academic institutions hold 0.41% of the Company’s undiluted capital).</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contract shall be terminated at the expiry of the last licensed patent in force in the last country and/or ten years after the last marketing of the product, service or process derived from the know-how or the licensed equipment.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00"/>
          </w:cols>
          <w:pgMar w:left="320" w:top="459" w:right="47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25.2. Commitments under Bpifrance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CARENA contract</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As part of the development of therapeutic and diagnostic solutions targeting alternative splicing and RNA interference in the fields of virology (HIV-AIDS, HTLV-1) and metabolism (obesity), SPLICOS (absorbed by the Company on October 31, 2014) has entered into a Master Support Agreement with Bpifrance as well as a conditional advance contract in the name of the “CARENA” Strategic Industrial Innovation Project dated December 16, 2013. The Company, acting as project leader for the CARENA project, is associated as part of a consortium contract with Theradiag, a company specializing in in vitro diagnostics and the development of theranostic tests for monitoring biotherapies, as well as at the CNRS and the University of Montpellier.</w:t>
      </w:r>
    </w:p>
    <w:p>
      <w:pPr>
        <w:spacing w:after="0" w:line="19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CARENA project aims to develop the anti-HIV-AIDS therapeutic program with the compound ABX464 up to the Phase 2b study, as well as a companion test set up by Theradiag simultaneously with the clinical development. Beyond the anti-HIV-AIDS program, the CARENA project should extend its pharmacological investigations to another retrovirus that could be combated by the same approach: HTLV-1.</w:t>
      </w:r>
    </w:p>
    <w:p>
      <w:pPr>
        <w:spacing w:after="0" w:line="165" w:lineRule="exact"/>
        <w:rPr>
          <w:sz w:val="20"/>
          <w:szCs w:val="20"/>
          <w:color w:val="auto"/>
        </w:rPr>
      </w:pPr>
    </w:p>
    <w:p>
      <w:pPr>
        <w:jc w:val="both"/>
        <w:ind w:left="120" w:right="120"/>
        <w:spacing w:after="0" w:line="285" w:lineRule="auto"/>
        <w:rPr>
          <w:sz w:val="20"/>
          <w:szCs w:val="20"/>
          <w:color w:val="auto"/>
        </w:rPr>
      </w:pPr>
      <w:r>
        <w:rPr>
          <w:rFonts w:ascii="Arial" w:cs="Arial" w:eastAsia="Arial" w:hAnsi="Arial"/>
          <w:sz w:val="16"/>
          <w:szCs w:val="16"/>
          <w:color w:val="auto"/>
        </w:rPr>
        <w:t>The Company is committed to reimbursing the received conditional advances up to €3,840 thousand. The Company will also have to pay an annuity of 50% of the proceeds from the sale of the intellectual property rights resulting from the project, as well as the sale of the prototypes, preproduction and models produced under the project; the sum due to Bpifrance under this provision will be deducted from the repayment of the conditional advances. In addition, if the advance is repaid under the conditions outlined above, the Company will pay to Bpifrance, over a period of five consecutive years after the date on which the repayment schedule ends and provided that the Company has reached cumulative pre-tax revenue greater than or equal to</w:t>
      </w:r>
    </w:p>
    <w:p>
      <w:pPr>
        <w:spacing w:after="0" w:line="2"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€50 million, an amount equal to 1.20% of the annual revenue generated from the sale of the products developed as part of the project. This supplementary payment amount is capped at €6,800 thousand. The total period, including fixed payments and incentive payments, is limited to 15 years.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RNP-VIR contract</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pursuit of the CARENA project, focused on the clinical development of a drug molecule and demonstrating the validity of an innovative therapeutic approach targeting viral RNPs, the Company has entered into a Master Support Agreement with Bpifrance as well as a beneficiary agreement with conditional advance for the “RNP-VIR” structuring research and development project for competitiveness dated December 16, 2016.</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RNP-VIR project will further the discovery of new molecules aimed at the treatment of multiple infectious diseases by the development of the antiviral technology platform. The Company, acting as project leader of the RNP-VIR project, is associated in a consortium contract with the CNRS and the University of Montpellier.</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is committed to reimburse the received conditional advances up to €6,576 thousand. If applicable, the Company will also have to pay an annuity of 50% of the proceeds from the sale of the intellectual property rights resulting from the project, as well as the sale of the prototypes, preproduction and models produced under the project. The sum due to Bpifrance under this provision will be deducted from the last payment (and if needed from the previous payments).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the advance is repaid under the conditions outlined above, the Company will pay to Bpifrance, over a period of five consecutive years following the date on which the repayment schedule ends and provided that the Company has reached cumulative pre-tax revenue greater than or equal to €25 million, an amount equal to 3% of the annual revenue generated from the sale of products developed as part of the project. The supplementary payments amount is capped at €5,500 thousand. The total period, including fixed payments and incentive payments, is limited to 15 years.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00"/>
          </w:cols>
          <w:pgMar w:left="320" w:top="459" w:right="47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Ebola</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Bpifrance and Occitanie Region joint support agreement granted on June 2, 2017 consists of conditional advances to the Company for a total amount of up to €390 thousand, based on the success of the program (respectively €130 thousand from the Languedoc Roussillon Midi Pyrénées Region and €260 thousand from Bpifrance). In September 2019, the Company decided to terminate this program, due to the existence of a vaccine in the process of being licensed for this indication as well as changes in the macroeconomic climate for public funding.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reimbursement of the conditional advance is spread until June 2024.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25.3. Pledge assets to Kreos</w:t>
      </w:r>
    </w:p>
    <w:p>
      <w:pPr>
        <w:spacing w:after="0" w:line="117"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As part of the KREOS 1 &amp; 2 bonds, Kreos benefits from first-rate collateral on the Group’s principal tangible and intangible assets, including its commercial fund, intellectual property rights in its principal drug candidates, as well as a pledge of the Group’s bank accounts and claims.</w:t>
      </w:r>
    </w:p>
    <w:p>
      <w:pPr>
        <w:spacing w:after="0" w:line="12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August 21, 2023, the outstanding Kreos 1 &amp; 2 bond loans were repaid in full, using the proceeds from the new Kreos / Claret Financing (see Note 3.3).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25.4. Other commitments related to research and partnership arrangements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ordinary course of business, the Group regularly uses the services of subcontractors and enters into research and partnership arrangements with various contract research organizations, or CROs, and with public-sector partners or subcontractors, who conduct clinical trials and studies in relation to the drug candidates.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of June 30, 2023, the Group’s commitments amounted to €187,375 thousand. The cost of services performed by CROs is recognized as an operating expense as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25.5. Leases</w:t>
      </w:r>
    </w:p>
    <w:p>
      <w:pPr>
        <w:spacing w:after="0" w:line="11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lease for the Group’s corporate headquarters in Paris, France at 5 Rue de la Baume, 75008 Paris ended in August 2022. A new lease for premises at 7-11 Boulevard Haussmann, 75009 Paris started in July 2022. It has a three-year duration, with a tacit renewal option for approximately two years and the possibility to break the contract one year before the end. Per Management, renewal and termination options are not reasonably certain.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26. Off-balance sheet commitments received and contingent assets</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maximum amounts receivable by the Group after June 30, 2023 under the “RNP-VIR” and “CARENA” innovation agreements entered into with Bpifrance, subject to the provision of evidence to support the forecast expenses and the achievement of scientific milestones, are €3,255 thousand and €1,853 thousand,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27. Management and assessment of financial risks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 is exposed to interest rate risk, credit risk, foreign currency risk and liquidity risk. The Group has not identified any significant changes in the identified risks compared to December 31,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20"/>
          </w:cols>
          <w:pgMar w:left="320" w:top="459" w:right="4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ABIVAX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20,325,500 Ordinary Shares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1405890</wp:posOffset>
            </wp:positionV>
            <wp:extent cx="1474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420370</wp:posOffset>
            </wp:positionV>
            <wp:extent cx="1808480" cy="283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80848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October 19, 2023</w:t>
      </w:r>
    </w:p>
    <w:p>
      <w:pPr>
        <w:sectPr>
          <w:pgSz w:w="11900" w:h="16838" w:orient="portrait"/>
          <w:cols w:equalWidth="0" w:num="1">
            <w:col w:w="11140"/>
          </w:cols>
          <w:pgMar w:left="320" w:top="459" w:right="43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156" w:lineRule="exact"/>
        <w:rPr>
          <w:sz w:val="20"/>
          <w:szCs w:val="20"/>
          <w:color w:val="auto"/>
        </w:rPr>
      </w:pPr>
    </w:p>
    <w:p>
      <w:pPr>
        <w:sectPr>
          <w:pgSz w:w="11900" w:h="16838" w:orient="portrait"/>
          <w:cols w:equalWidth="0" w:num="2">
            <w:col w:w="8300" w:space="720"/>
            <w:col w:w="21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3"/>
          <w:szCs w:val="23"/>
          <w:b w:val="1"/>
          <w:bCs w:val="1"/>
          <w:color w:val="auto"/>
        </w:rPr>
        <w:t>LifeSci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Bryan, Garnier &amp; Co</w:t>
      </w:r>
    </w:p>
    <w:p>
      <w:pPr>
        <w:spacing w:after="0" w:line="200" w:lineRule="exact"/>
        <w:rPr>
          <w:sz w:val="20"/>
          <w:szCs w:val="20"/>
          <w:color w:val="auto"/>
        </w:rPr>
      </w:pPr>
    </w:p>
    <w:p>
      <w:pPr>
        <w:sectPr>
          <w:pgSz w:w="11900" w:h="16838" w:orient="portrait"/>
          <w:cols w:equalWidth="0" w:num="2">
            <w:col w:w="8100" w:space="720"/>
            <w:col w:w="232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Through and including November 13, 2023 (the 25th day after the date of this prospectus), all dealers that effect transactions in these securities, whether or not participating in the global offering, may be required to deliver a prospectus. This is in addition to the dealers’ obligations to deliver a prospectus when acting as underwriters and with respect to their unsold allotments or subscriptions.</w:t>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1)"/>
      <w:numFmt w:val="decimal"/>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
      <w:numFmt w:val="bullet"/>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1)"/>
      <w:numFmt w:val="decimal"/>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
      <w:numFmt w:val="bullet"/>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1)"/>
      <w:numFmt w:val="lowerRoman"/>
      <w:start w:val="3"/>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1)"/>
      <w:numFmt w:val="decimal"/>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abstractNum>
  <w:abstractNum w:abstractNumId="63">
    <w:nsid w:val="65968C1C"/>
    <w:multiLevelType w:val="hybridMultilevel"/>
    <w:lvl w:ilvl="0">
      <w:lvlJc w:val="left"/>
      <w:lvlText w:val="•"/>
      <w:numFmt w:val="bullet"/>
      <w:start w:val="1"/>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1)"/>
      <w:numFmt w:val="decimal"/>
      <w:start w:val="1"/>
    </w:lvl>
  </w:abstractNum>
  <w:abstractNum w:abstractNumId="66">
    <w:nsid w:val="73D4D3C4"/>
    <w:multiLevelType w:val="hybridMultilevel"/>
    <w:lvl w:ilvl="0">
      <w:lvlJc w:val="left"/>
      <w:lvlText w:val="(%1)"/>
      <w:numFmt w:val="decimal"/>
      <w:start w:val="3"/>
    </w:lvl>
  </w:abstractNum>
  <w:abstractNum w:abstractNumId="67">
    <w:nsid w:val="746F2E30"/>
    <w:multiLevelType w:val="hybridMultilevel"/>
    <w:lvl w:ilvl="0">
      <w:lvlJc w:val="left"/>
      <w:lvlText w:val="•"/>
      <w:numFmt w:val="bullet"/>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
      <w:numFmt w:val="bullet"/>
      <w:start w:val="1"/>
    </w:lvl>
  </w:abstractNum>
  <w:abstractNum w:abstractNumId="72">
    <w:nsid w:val="230F856C"/>
    <w:multiLevelType w:val="hybridMultilevel"/>
    <w:lvl w:ilvl="0">
      <w:lvlJc w:val="left"/>
      <w:lvlText w:val="•"/>
      <w:numFmt w:val="bullet"/>
      <w:start w:val="1"/>
    </w:lvl>
  </w:abstractNum>
  <w:abstractNum w:abstractNumId="73">
    <w:nsid w:val="6EAA85FB"/>
    <w:multiLevelType w:val="hybridMultilevel"/>
    <w:lvl w:ilvl="0">
      <w:lvlJc w:val="left"/>
      <w:lvlText w:val="•"/>
      <w:numFmt w:val="bullet"/>
      <w:start w:val="1"/>
    </w:lvl>
  </w:abstractNum>
  <w:abstractNum w:abstractNumId="74">
    <w:nsid w:val="3F06ECB2"/>
    <w:multiLevelType w:val="hybridMultilevel"/>
    <w:lvl w:ilvl="0">
      <w:lvlJc w:val="left"/>
      <w:lvlText w:val="•"/>
      <w:numFmt w:val="bullet"/>
      <w:start w:val="1"/>
    </w:lvl>
  </w:abstractNum>
  <w:abstractNum w:abstractNumId="75">
    <w:nsid w:val="3B594807"/>
    <w:multiLevelType w:val="hybridMultilevel"/>
    <w:lvl w:ilvl="0">
      <w:lvlJc w:val="left"/>
      <w:lvlText w:val="•"/>
      <w:numFmt w:val="bullet"/>
      <w:start w:val="1"/>
    </w:lvl>
  </w:abstractNum>
  <w:abstractNum w:abstractNumId="76">
    <w:nsid w:val="6CAA2304"/>
    <w:multiLevelType w:val="hybridMultilevel"/>
    <w:lvl w:ilvl="0">
      <w:lvlJc w:val="left"/>
      <w:lvlText w:val="•"/>
      <w:numFmt w:val="bullet"/>
      <w:start w:val="1"/>
    </w:lvl>
  </w:abstractNum>
  <w:abstractNum w:abstractNumId="77">
    <w:nsid w:val="3F7C2FF4"/>
    <w:multiLevelType w:val="hybridMultilevel"/>
    <w:lvl w:ilvl="0">
      <w:lvlJc w:val="left"/>
      <w:lvlText w:val="•"/>
      <w:numFmt w:val="bullet"/>
      <w:start w:val="1"/>
    </w:lvl>
  </w:abstractNum>
  <w:abstractNum w:abstractNumId="78">
    <w:nsid w:val="25413BEC"/>
    <w:multiLevelType w:val="hybridMultilevel"/>
    <w:lvl w:ilvl="0">
      <w:lvlJc w:val="left"/>
      <w:lvlText w:val="•"/>
      <w:numFmt w:val="bullet"/>
      <w:start w:val="1"/>
    </w:lvl>
  </w:abstractNum>
  <w:abstractNum w:abstractNumId="79">
    <w:nsid w:val="17180B0B"/>
    <w:multiLevelType w:val="hybridMultilevel"/>
    <w:lvl w:ilvl="0">
      <w:lvlJc w:val="left"/>
      <w:lvlText w:val="(%1)"/>
      <w:numFmt w:val="decimal"/>
      <w:start w:val="1"/>
    </w:lvl>
  </w:abstractNum>
  <w:abstractNum w:abstractNumId="80">
    <w:nsid w:val="579328B9"/>
    <w:multiLevelType w:val="hybridMultilevel"/>
    <w:lvl w:ilvl="0">
      <w:lvlJc w:val="left"/>
      <w:lvlText w:val="•"/>
      <w:numFmt w:val="bullet"/>
      <w:start w:val="1"/>
    </w:lvl>
  </w:abstractNum>
  <w:abstractNum w:abstractNumId="81">
    <w:nsid w:val="5D205E20"/>
    <w:multiLevelType w:val="hybridMultilevel"/>
    <w:lvl w:ilvl="0">
      <w:lvlJc w:val="left"/>
      <w:lvlText w:val="(%1)"/>
      <w:numFmt w:val="lowerRoman"/>
      <w:start w:val="2"/>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
      <w:numFmt w:val="bullet"/>
      <w:start w:val="1"/>
    </w:lvl>
  </w:abstractNum>
  <w:abstractNum w:abstractNumId="84">
    <w:nsid w:val="3F07ACC3"/>
    <w:multiLevelType w:val="hybridMultilevel"/>
    <w:lvl w:ilvl="0">
      <w:lvlJc w:val="left"/>
      <w:lvlText w:val="•"/>
      <w:numFmt w:val="bullet"/>
      <w:start w:val="1"/>
    </w:lvl>
  </w:abstractNum>
  <w:abstractNum w:abstractNumId="85">
    <w:nsid w:val="6B47F63E"/>
    <w:multiLevelType w:val="hybridMultilevel"/>
    <w:lvl w:ilvl="0">
      <w:lvlJc w:val="left"/>
      <w:lvlText w:val="•"/>
      <w:numFmt w:val="bullet"/>
      <w:start w:val="1"/>
    </w:lvl>
  </w:abstractNum>
  <w:abstractNum w:abstractNumId="86">
    <w:nsid w:val="5CB44A05"/>
    <w:multiLevelType w:val="hybridMultilevel"/>
    <w:lvl w:ilvl="0">
      <w:lvlJc w:val="left"/>
      <w:lvlText w:val="•"/>
      <w:numFmt w:val="bullet"/>
      <w:start w:val="1"/>
    </w:lvl>
  </w:abstractNum>
  <w:abstractNum w:abstractNumId="87">
    <w:nsid w:val="16CF80F1"/>
    <w:multiLevelType w:val="hybridMultilevel"/>
    <w:lvl w:ilvl="0">
      <w:lvlJc w:val="left"/>
      <w:lvlText w:val="•"/>
      <w:numFmt w:val="bullet"/>
      <w:start w:val="1"/>
    </w:lvl>
  </w:abstractNum>
  <w:abstractNum w:abstractNumId="88">
    <w:nsid w:val="1C695DEC"/>
    <w:multiLevelType w:val="hybridMultilevel"/>
    <w:lvl w:ilvl="0">
      <w:lvlJc w:val="left"/>
      <w:lvlText w:val="•"/>
      <w:numFmt w:val="bullet"/>
      <w:start w:val="1"/>
    </w:lvl>
  </w:abstractNum>
  <w:abstractNum w:abstractNumId="89">
    <w:nsid w:val="3FCFAED9"/>
    <w:multiLevelType w:val="hybridMultilevel"/>
    <w:lvl w:ilvl="0">
      <w:lvlJc w:val="left"/>
      <w:lvlText w:val="•"/>
      <w:numFmt w:val="bullet"/>
      <w:start w:val="1"/>
    </w:lvl>
  </w:abstractNum>
  <w:abstractNum w:abstractNumId="90">
    <w:nsid w:val="F856867"/>
    <w:multiLevelType w:val="hybridMultilevel"/>
    <w:lvl w:ilvl="0">
      <w:lvlJc w:val="left"/>
      <w:lvlText w:val="•"/>
      <w:numFmt w:val="bullet"/>
      <w:start w:val="1"/>
    </w:lvl>
  </w:abstractNum>
  <w:abstractNum w:abstractNumId="91">
    <w:nsid w:val="11B1CC33"/>
    <w:multiLevelType w:val="hybridMultilevel"/>
    <w:lvl w:ilvl="0">
      <w:lvlJc w:val="left"/>
      <w:lvlText w:val="•"/>
      <w:numFmt w:val="bullet"/>
      <w:start w:val="1"/>
    </w:lvl>
  </w:abstractNum>
  <w:abstractNum w:abstractNumId="92">
    <w:nsid w:val="2E22FBB7"/>
    <w:multiLevelType w:val="hybridMultilevel"/>
    <w:lvl w:ilvl="0">
      <w:lvlJc w:val="left"/>
      <w:lvlText w:val="•"/>
      <w:numFmt w:val="bullet"/>
      <w:start w:val="1"/>
    </w:lvl>
  </w:abstractNum>
  <w:abstractNum w:abstractNumId="93">
    <w:nsid w:val="29934699"/>
    <w:multiLevelType w:val="hybridMultilevel"/>
    <w:lvl w:ilvl="0">
      <w:lvlJc w:val="left"/>
      <w:lvlText w:val="•"/>
      <w:numFmt w:val="bullet"/>
      <w:start w:val="1"/>
    </w:lvl>
  </w:abstractNum>
  <w:abstractNum w:abstractNumId="94">
    <w:nsid w:val="77485850"/>
    <w:multiLevelType w:val="hybridMultilevel"/>
    <w:lvl w:ilvl="0">
      <w:lvlJc w:val="left"/>
      <w:lvlText w:val="•"/>
      <w:numFmt w:val="bullet"/>
      <w:start w:val="1"/>
    </w:lvl>
  </w:abstractNum>
  <w:abstractNum w:abstractNumId="95">
    <w:nsid w:val="744939A3"/>
    <w:multiLevelType w:val="hybridMultilevel"/>
    <w:lvl w:ilvl="0">
      <w:lvlJc w:val="left"/>
      <w:lvlText w:val="•"/>
      <w:numFmt w:val="bullet"/>
      <w:start w:val="1"/>
    </w:lvl>
  </w:abstractNum>
  <w:abstractNum w:abstractNumId="96">
    <w:nsid w:val="4FA0D2E3"/>
    <w:multiLevelType w:val="hybridMultilevel"/>
    <w:lvl w:ilvl="0">
      <w:lvlJc w:val="left"/>
      <w:lvlText w:val="%1."/>
      <w:numFmt w:val="decimal"/>
      <w:start w:val="1"/>
    </w:lvl>
  </w:abstractNum>
  <w:abstractNum w:abstractNumId="97">
    <w:nsid w:val="6B1D2C14"/>
    <w:multiLevelType w:val="hybridMultilevel"/>
    <w:lvl w:ilvl="0">
      <w:lvlJc w:val="left"/>
      <w:lvlText w:val="*"/>
      <w:numFmt w:val="bullet"/>
      <w:start w:val="1"/>
    </w:lvl>
  </w:abstractNum>
  <w:abstractNum w:abstractNumId="98">
    <w:nsid w:val="68B867D3"/>
    <w:multiLevelType w:val="hybridMultilevel"/>
    <w:lvl w:ilvl="0">
      <w:lvlJc w:val="left"/>
      <w:lvlText w:val="(%1)"/>
      <w:numFmt w:val="decimal"/>
      <w:start w:val="1"/>
    </w:lvl>
  </w:abstractNum>
  <w:abstractNum w:abstractNumId="99">
    <w:nsid w:val="3F7F5DD9"/>
    <w:multiLevelType w:val="hybridMultilevel"/>
    <w:lvl w:ilvl="0">
      <w:lvlJc w:val="left"/>
      <w:lvlText w:val="(%1)"/>
      <w:numFmt w:val="decimal"/>
      <w:start w:val="1"/>
    </w:lvl>
  </w:abstractNum>
  <w:abstractNum w:abstractNumId="100">
    <w:nsid w:val="2AE05A34"/>
    <w:multiLevelType w:val="hybridMultilevel"/>
    <w:lvl w:ilvl="0">
      <w:lvlJc w:val="left"/>
      <w:lvlText w:val="*"/>
      <w:numFmt w:val="bullet"/>
      <w:start w:val="1"/>
    </w:lvl>
  </w:abstractNum>
  <w:abstractNum w:abstractNumId="101">
    <w:nsid w:val="32794FF7"/>
    <w:multiLevelType w:val="hybridMultilevel"/>
    <w:lvl w:ilvl="0">
      <w:lvlJc w:val="left"/>
      <w:lvlText w:val="(%1)"/>
      <w:numFmt w:val="decimal"/>
      <w:start w:val="1"/>
    </w:lvl>
  </w:abstractNum>
  <w:abstractNum w:abstractNumId="102">
    <w:nsid w:val="5454945E"/>
    <w:multiLevelType w:val="hybridMultilevel"/>
    <w:lvl w:ilvl="0">
      <w:lvlJc w:val="left"/>
      <w:lvlText w:val="*"/>
      <w:numFmt w:val="bullet"/>
      <w:start w:val="1"/>
    </w:lvl>
  </w:abstractNum>
  <w:abstractNum w:abstractNumId="103">
    <w:nsid w:val="4DEFDFA0"/>
    <w:multiLevelType w:val="hybridMultilevel"/>
    <w:lvl w:ilvl="0">
      <w:lvlJc w:val="left"/>
      <w:lvlText w:val="(%1)"/>
      <w:numFmt w:val="decimal"/>
      <w:start w:val="1"/>
    </w:lvl>
  </w:abstractNum>
  <w:abstractNum w:abstractNumId="104">
    <w:nsid w:val="2123D5F2"/>
    <w:multiLevelType w:val="hybridMultilevel"/>
    <w:lvl w:ilvl="0">
      <w:lvlJc w:val="left"/>
      <w:lvlText w:val="(%1)"/>
      <w:numFmt w:val="decimal"/>
      <w:start w:val="1"/>
    </w:lvl>
  </w:abstractNum>
  <w:abstractNum w:abstractNumId="105">
    <w:nsid w:val="135B8110"/>
    <w:multiLevelType w:val="hybridMultilevel"/>
    <w:lvl w:ilvl="0">
      <w:lvlJc w:val="left"/>
      <w:lvlText w:val="*"/>
      <w:numFmt w:val="bullet"/>
      <w:start w:val="1"/>
    </w:lvl>
  </w:abstractNum>
  <w:abstractNum w:abstractNumId="106">
    <w:nsid w:val="94927A8"/>
    <w:multiLevelType w:val="hybridMultilevel"/>
    <w:lvl w:ilvl="0">
      <w:lvlJc w:val="left"/>
      <w:lvlText w:val="(%1)"/>
      <w:numFmt w:val="decimal"/>
      <w:start w:val="1"/>
    </w:lvl>
  </w:abstractNum>
  <w:abstractNum w:abstractNumId="107">
    <w:nsid w:val="DCDF8F6"/>
    <w:multiLevelType w:val="hybridMultilevel"/>
    <w:lvl w:ilvl="0">
      <w:lvlJc w:val="left"/>
      <w:lvlText w:val="(%1)"/>
      <w:numFmt w:val="decimal"/>
      <w:start w:val="1"/>
    </w:lvl>
  </w:abstractNum>
  <w:abstractNum w:abstractNumId="108">
    <w:nsid w:val="52D7B105"/>
    <w:multiLevelType w:val="hybridMultilevel"/>
    <w:lvl w:ilvl="0">
      <w:lvlJc w:val="left"/>
      <w:lvlText w:val="(%1)"/>
      <w:numFmt w:val="lowerRoman"/>
      <w:start w:val="1"/>
    </w:lvl>
  </w:abstractNum>
  <w:abstractNum w:abstractNumId="109">
    <w:nsid w:val="2E8A6394"/>
    <w:multiLevelType w:val="hybridMultilevel"/>
    <w:lvl w:ilvl="0">
      <w:lvlJc w:val="left"/>
      <w:lvlText w:val="(%1)"/>
      <w:numFmt w:val="decimal"/>
      <w:start w:val="3"/>
    </w:lvl>
  </w:abstractNum>
  <w:abstractNum w:abstractNumId="110">
    <w:nsid w:val="24E60401"/>
    <w:multiLevelType w:val="hybridMultilevel"/>
    <w:lvl w:ilvl="0">
      <w:lvlJc w:val="left"/>
      <w:lvlText w:val="•"/>
      <w:numFmt w:val="bullet"/>
      <w:start w:val="1"/>
    </w:lvl>
  </w:abstractNum>
  <w:abstractNum w:abstractNumId="111">
    <w:nsid w:val="2A6AD9BE"/>
    <w:multiLevelType w:val="hybridMultilevel"/>
    <w:lvl w:ilvl="0">
      <w:lvlJc w:val="left"/>
      <w:lvlText w:val="(%1)"/>
      <w:numFmt w:val="lowerRoman"/>
      <w:start w:val="5"/>
    </w:lvl>
  </w:abstractNum>
  <w:abstractNum w:abstractNumId="112">
    <w:nsid w:val="BAAC1B4"/>
    <w:multiLevelType w:val="hybridMultilevel"/>
    <w:lvl w:ilvl="0">
      <w:lvlJc w:val="left"/>
      <w:lvlText w:val="•"/>
      <w:numFmt w:val="bullet"/>
      <w:start w:val="1"/>
    </w:lvl>
  </w:abstractNum>
  <w:abstractNum w:abstractNumId="113">
    <w:nsid w:val="36B2ACBC"/>
    <w:multiLevelType w:val="hybridMultilevel"/>
    <w:lvl w:ilvl="0">
      <w:lvlJc w:val="left"/>
      <w:lvlText w:val="•"/>
      <w:numFmt w:val="bullet"/>
      <w:start w:val="1"/>
    </w:lvl>
  </w:abstractNum>
  <w:abstractNum w:abstractNumId="114">
    <w:nsid w:val="779D8544"/>
    <w:multiLevelType w:val="hybridMultilevel"/>
    <w:lvl w:ilvl="0">
      <w:lvlJc w:val="left"/>
      <w:lvlText w:val="•"/>
      <w:numFmt w:val="bullet"/>
      <w:start w:val="1"/>
    </w:lvl>
  </w:abstractNum>
  <w:abstractNum w:abstractNumId="115">
    <w:nsid w:val="4AB26E78"/>
    <w:multiLevelType w:val="hybridMultilevel"/>
    <w:lvl w:ilvl="0">
      <w:lvlJc w:val="left"/>
      <w:lvlText w:val="•"/>
      <w:numFmt w:val="bullet"/>
      <w:start w:val="1"/>
    </w:lvl>
  </w:abstractNum>
  <w:abstractNum w:abstractNumId="116">
    <w:nsid w:val="21FAA2FA"/>
    <w:multiLevelType w:val="hybridMultilevel"/>
    <w:lvl w:ilvl="0">
      <w:lvlJc w:val="left"/>
      <w:lvlText w:val="•"/>
      <w:numFmt w:val="bullet"/>
      <w:start w:val="1"/>
    </w:lvl>
  </w:abstractNum>
  <w:abstractNum w:abstractNumId="117">
    <w:nsid w:val="5451CF49"/>
    <w:multiLevelType w:val="hybridMultilevel"/>
    <w:lvl w:ilvl="0">
      <w:lvlJc w:val="left"/>
      <w:lvlText w:val="•"/>
      <w:numFmt w:val="bullet"/>
      <w:start w:val="1"/>
    </w:lvl>
  </w:abstractNum>
  <w:abstractNum w:abstractNumId="118">
    <w:nsid w:val="6181EF69"/>
    <w:multiLevelType w:val="hybridMultilevel"/>
    <w:lvl w:ilvl="0">
      <w:lvlJc w:val="left"/>
      <w:lvlText w:val="•"/>
      <w:numFmt w:val="bullet"/>
      <w:start w:val="1"/>
    </w:lvl>
  </w:abstractNum>
  <w:abstractNum w:abstractNumId="119">
    <w:nsid w:val="3E6400E6"/>
    <w:multiLevelType w:val="hybridMultilevel"/>
    <w:lvl w:ilvl="0">
      <w:lvlJc w:val="left"/>
      <w:lvlText w:val="•"/>
      <w:numFmt w:val="bullet"/>
      <w:start w:val="1"/>
    </w:lvl>
  </w:abstractNum>
  <w:abstractNum w:abstractNumId="120">
    <w:nsid w:val="14217E23"/>
    <w:multiLevelType w:val="hybridMultilevel"/>
    <w:lvl w:ilvl="0">
      <w:lvlJc w:val="left"/>
      <w:lvlText w:val="•"/>
      <w:numFmt w:val="bullet"/>
      <w:start w:val="1"/>
    </w:lvl>
  </w:abstractNum>
  <w:abstractNum w:abstractNumId="121">
    <w:nsid w:val="710757D0"/>
    <w:multiLevelType w:val="hybridMultilevel"/>
    <w:lvl w:ilvl="0">
      <w:lvlJc w:val="left"/>
      <w:lvlText w:val="•"/>
      <w:numFmt w:val="bullet"/>
      <w:start w:val="1"/>
    </w:lvl>
  </w:abstractNum>
  <w:abstractNum w:abstractNumId="122">
    <w:nsid w:val="5015CD1A"/>
    <w:multiLevelType w:val="hybridMultilevel"/>
    <w:lvl w:ilvl="0">
      <w:lvlJc w:val="left"/>
      <w:lvlText w:val="(%1)"/>
      <w:numFmt w:val="decimal"/>
      <w:start w:val="1"/>
    </w:lvl>
  </w:abstractNum>
  <w:abstractNum w:abstractNumId="123">
    <w:nsid w:val="424479DA"/>
    <w:multiLevelType w:val="hybridMultilevel"/>
    <w:lvl w:ilvl="0">
      <w:lvlJc w:val="left"/>
      <w:lvlText w:val="•"/>
      <w:numFmt w:val="bullet"/>
      <w:start w:val="1"/>
    </w:lvl>
  </w:abstractNum>
  <w:abstractNum w:abstractNumId="124">
    <w:nsid w:val="1A9A9E69"/>
    <w:multiLevelType w:val="hybridMultilevel"/>
    <w:lvl w:ilvl="0">
      <w:lvlJc w:val="left"/>
      <w:lvlText w:val="•"/>
      <w:numFmt w:val="bullet"/>
      <w:start w:val="1"/>
    </w:lvl>
  </w:abstractNum>
  <w:abstractNum w:abstractNumId="125">
    <w:nsid w:val="475E256A"/>
    <w:multiLevelType w:val="hybridMultilevel"/>
    <w:lvl w:ilvl="0">
      <w:lvlJc w:val="left"/>
      <w:lvlText w:val="(%1)"/>
      <w:numFmt w:val="lowerRoman"/>
      <w:start w:val="2"/>
    </w:lvl>
  </w:abstractNum>
  <w:abstractNum w:abstractNumId="126">
    <w:nsid w:val="368DB37E"/>
    <w:multiLevelType w:val="hybridMultilevel"/>
    <w:lvl w:ilvl="0">
      <w:lvlJc w:val="left"/>
      <w:lvlText w:val="(%1)"/>
      <w:numFmt w:val="decimal"/>
      <w:start w:val="10"/>
    </w:lvl>
  </w:abstractNum>
  <w:abstractNum w:abstractNumId="127">
    <w:nsid w:val="6A3B714C"/>
    <w:multiLevelType w:val="hybridMultilevel"/>
    <w:lvl w:ilvl="0">
      <w:lvlJc w:val="left"/>
      <w:lvlText w:val="(%1)"/>
      <w:numFmt w:val="decimal"/>
      <w:start w:val="1"/>
    </w:lvl>
  </w:abstractNum>
  <w:abstractNum w:abstractNumId="128">
    <w:nsid w:val="327B517E"/>
    <w:multiLevelType w:val="hybridMultilevel"/>
    <w:lvl w:ilvl="0">
      <w:lvlJc w:val="left"/>
      <w:lvlText w:val="•"/>
      <w:numFmt w:val="bullet"/>
      <w:start w:val="1"/>
    </w:lvl>
  </w:abstractNum>
  <w:abstractNum w:abstractNumId="129">
    <w:nsid w:val="1F461B51"/>
    <w:multiLevelType w:val="hybridMultilevel"/>
    <w:lvl w:ilvl="0">
      <w:lvlJc w:val="left"/>
      <w:lvlText w:val="•"/>
      <w:numFmt w:val="bullet"/>
      <w:start w:val="1"/>
    </w:lvl>
  </w:abstractNum>
  <w:abstractNum w:abstractNumId="130">
    <w:nsid w:val="29BACF25"/>
    <w:multiLevelType w:val="hybridMultilevel"/>
    <w:lvl w:ilvl="0">
      <w:lvlJc w:val="left"/>
      <w:lvlText w:val="•"/>
      <w:numFmt w:val="bullet"/>
      <w:start w:val="1"/>
    </w:lvl>
  </w:abstractNum>
  <w:abstractNum w:abstractNumId="131">
    <w:nsid w:val="5D5BABB3"/>
    <w:multiLevelType w:val="hybridMultilevel"/>
    <w:lvl w:ilvl="0">
      <w:lvlJc w:val="left"/>
      <w:lvlText w:val="•"/>
      <w:numFmt w:val="bullet"/>
      <w:start w:val="1"/>
    </w:lvl>
  </w:abstractNum>
  <w:abstractNum w:abstractNumId="132">
    <w:nsid w:val="51BF6B48"/>
    <w:multiLevelType w:val="hybridMultilevel"/>
    <w:lvl w:ilvl="0">
      <w:lvlJc w:val="left"/>
      <w:lvlText w:val="•"/>
      <w:numFmt w:val="bullet"/>
      <w:start w:val="1"/>
    </w:lvl>
  </w:abstractNum>
  <w:abstractNum w:abstractNumId="133">
    <w:nsid w:val="7E0F6384"/>
    <w:multiLevelType w:val="hybridMultilevel"/>
    <w:lvl w:ilvl="0">
      <w:lvlJc w:val="left"/>
      <w:lvlText w:val="•"/>
      <w:numFmt w:val="bullet"/>
      <w:start w:val="1"/>
    </w:lvl>
  </w:abstractNum>
  <w:abstractNum w:abstractNumId="134">
    <w:nsid w:val="2B4B8B53"/>
    <w:multiLevelType w:val="hybridMultilevel"/>
    <w:lvl w:ilvl="0">
      <w:lvlJc w:val="left"/>
      <w:lvlText w:val="(%1)"/>
      <w:numFmt w:val="decimal"/>
      <w:start w:val="1"/>
    </w:lvl>
  </w:abstractNum>
  <w:abstractNum w:abstractNumId="135">
    <w:nsid w:val="72E3413A"/>
    <w:multiLevelType w:val="hybridMultilevel"/>
    <w:lvl w:ilvl="0">
      <w:lvlJc w:val="left"/>
      <w:lvlText w:val="(*)"/>
      <w:numFmt w:val="bullet"/>
      <w:start w:val="1"/>
    </w:lvl>
    <w:lvl w:ilvl="1">
      <w:lvlJc w:val="left"/>
      <w:lvlText w:val="•"/>
      <w:numFmt w:val="bullet"/>
      <w:start w:val="1"/>
    </w:lvl>
  </w:abstractNum>
  <w:abstractNum w:abstractNumId="136">
    <w:nsid w:val="116AE494"/>
    <w:multiLevelType w:val="hybridMultilevel"/>
    <w:lvl w:ilvl="0">
      <w:lvlJc w:val="left"/>
      <w:lvlText w:val="(%1)"/>
      <w:numFmt w:val="decimal"/>
      <w:start w:val="1"/>
    </w:lvl>
  </w:abstractNum>
  <w:abstractNum w:abstractNumId="137">
    <w:nsid w:val="3494B2FB"/>
    <w:multiLevelType w:val="hybridMultilevel"/>
    <w:lvl w:ilvl="0">
      <w:lvlJc w:val="left"/>
      <w:lvlText w:val="(%1)"/>
      <w:numFmt w:val="decimal"/>
      <w:start w:val="3"/>
    </w:lvl>
  </w:abstractNum>
  <w:abstractNum w:abstractNumId="138">
    <w:nsid w:val="B13A31"/>
    <w:multiLevelType w:val="hybridMultilevel"/>
    <w:lvl w:ilvl="0">
      <w:lvlJc w:val="left"/>
      <w:lvlText w:val="•"/>
      <w:numFmt w:val="bullet"/>
      <w:start w:val="1"/>
    </w:lvl>
  </w:abstractNum>
  <w:abstractNum w:abstractNumId="139">
    <w:nsid w:val="64429599"/>
    <w:multiLevelType w:val="hybridMultilevel"/>
    <w:lvl w:ilvl="0">
      <w:lvlJc w:val="left"/>
      <w:lvlText w:val="•"/>
      <w:numFmt w:val="bullet"/>
      <w:start w:val="1"/>
    </w:lvl>
  </w:abstractNum>
  <w:abstractNum w:abstractNumId="140">
    <w:nsid w:val="631F1690"/>
    <w:multiLevelType w:val="hybridMultilevel"/>
    <w:lvl w:ilvl="0">
      <w:lvlJc w:val="left"/>
      <w:lvlText w:val="*"/>
      <w:numFmt w:val="bullet"/>
      <w:start w:val="1"/>
    </w:lvl>
  </w:abstractNum>
  <w:abstractNum w:abstractNumId="141">
    <w:nsid w:val="25973E32"/>
    <w:multiLevelType w:val="hybridMultilevel"/>
    <w:lvl w:ilvl="0">
      <w:lvlJc w:val="left"/>
      <w:lvlText w:val="+"/>
      <w:numFmt w:val="bullet"/>
      <w:start w:val="1"/>
    </w:lvl>
  </w:abstractNum>
  <w:abstractNum w:abstractNumId="142">
    <w:nsid w:val="EAD6F57"/>
    <w:multiLevelType w:val="hybridMultilevel"/>
    <w:lvl w:ilvl="0">
      <w:lvlJc w:val="left"/>
      <w:lvlText w:val="(%1)"/>
      <w:numFmt w:val="decimal"/>
      <w:start w:val="1"/>
    </w:lvl>
  </w:abstractNum>
  <w:abstractNum w:abstractNumId="143">
    <w:nsid w:val="6EC9D844"/>
    <w:multiLevelType w:val="hybridMultilevel"/>
    <w:lvl w:ilvl="0">
      <w:lvlJc w:val="left"/>
      <w:lvlText w:val="(%1)"/>
      <w:numFmt w:val="decimal"/>
      <w:start w:val="3"/>
    </w:lvl>
  </w:abstractNum>
  <w:abstractNum w:abstractNumId="144">
    <w:nsid w:val="5C49EAEE"/>
    <w:multiLevelType w:val="hybridMultilevel"/>
    <w:lvl w:ilvl="0">
      <w:lvlJc w:val="left"/>
      <w:lvlText w:val="•"/>
      <w:numFmt w:val="bullet"/>
      <w:start w:val="1"/>
    </w:lvl>
  </w:abstractNum>
  <w:abstractNum w:abstractNumId="145">
    <w:nsid w:val="64AF49B"/>
    <w:multiLevelType w:val="hybridMultilevel"/>
    <w:lvl w:ilvl="0">
      <w:lvlJc w:val="left"/>
      <w:lvlText w:val="•"/>
      <w:numFmt w:val="bullet"/>
      <w:start w:val="1"/>
    </w:lvl>
  </w:abstractNum>
  <w:abstractNum w:abstractNumId="146">
    <w:nsid w:val="397C46BC"/>
    <w:multiLevelType w:val="hybridMultilevel"/>
    <w:lvl w:ilvl="0">
      <w:lvlJc w:val="left"/>
      <w:lvlText w:val="•"/>
      <w:numFmt w:val="bullet"/>
      <w:start w:val="1"/>
    </w:lvl>
  </w:abstractNum>
  <w:abstractNum w:abstractNumId="147">
    <w:nsid w:val="7E448DE9"/>
    <w:multiLevelType w:val="hybridMultilevel"/>
    <w:lvl w:ilvl="0">
      <w:lvlJc w:val="left"/>
      <w:lvlText w:val="•"/>
      <w:numFmt w:val="bullet"/>
      <w:start w:val="1"/>
    </w:lvl>
  </w:abstractNum>
  <w:abstractNum w:abstractNumId="148">
    <w:nsid w:val="5A9CC3E5"/>
    <w:multiLevelType w:val="hybridMultilevel"/>
    <w:lvl w:ilvl="0">
      <w:lvlJc w:val="left"/>
      <w:lvlText w:val="(*)"/>
      <w:numFmt w:val="bullet"/>
      <w:start w:val="1"/>
    </w:lvl>
  </w:abstractNum>
  <w:abstractNum w:abstractNumId="149">
    <w:nsid w:val="1AFE3625"/>
    <w:multiLevelType w:val="hybridMultilevel"/>
    <w:lvl w:ilvl="0">
      <w:lvlJc w:val="left"/>
      <w:lvlText w:val="(%1)"/>
      <w:numFmt w:val="decimal"/>
      <w:start w:val="1"/>
    </w:lvl>
  </w:abstractNum>
  <w:abstractNum w:abstractNumId="150">
    <w:nsid w:val="3CA88ECF"/>
    <w:multiLevelType w:val="hybridMultilevel"/>
    <w:lvl w:ilvl="0">
      <w:lvlJc w:val="left"/>
      <w:lvlText w:val="(*)"/>
      <w:numFmt w:val="bullet"/>
      <w:start w:val="1"/>
    </w:lvl>
  </w:abstractNum>
  <w:abstractNum w:abstractNumId="151">
    <w:nsid w:val="6EBE4208"/>
    <w:multiLevelType w:val="hybridMultilevel"/>
    <w:lvl w:ilvl="0">
      <w:lvlJc w:val="left"/>
      <w:lvlText w:val="(*)"/>
      <w:numFmt w:val="bullet"/>
      <w:start w:val="1"/>
    </w:lvl>
  </w:abstractNum>
  <w:abstractNum w:abstractNumId="152">
    <w:nsid w:val="C058DF5"/>
    <w:multiLevelType w:val="hybridMultilevel"/>
    <w:lvl w:ilvl="0">
      <w:lvlJc w:val="left"/>
      <w:lvlText w:val="(%1)"/>
      <w:numFmt w:val="decimal"/>
      <w:start w:val="1"/>
    </w:lvl>
  </w:abstractNum>
  <w:abstractNum w:abstractNumId="153">
    <w:nsid w:val="CBE5BE9"/>
    <w:multiLevelType w:val="hybridMultilevel"/>
    <w:lvl w:ilvl="0">
      <w:lvlJc w:val="left"/>
      <w:lvlText w:val="(%1)"/>
      <w:numFmt w:val="lowerRoman"/>
      <w:start w:val="1"/>
    </w:lvl>
  </w:abstractNum>
  <w:abstractNum w:abstractNumId="154">
    <w:nsid w:val="3102BBE2"/>
    <w:multiLevelType w:val="hybridMultilevel"/>
    <w:lvl w:ilvl="0">
      <w:lvlJc w:val="left"/>
      <w:lvlText w:val="•"/>
      <w:numFmt w:val="bullet"/>
      <w:start w:val="1"/>
    </w:lvl>
  </w:abstractNum>
  <w:abstractNum w:abstractNumId="155">
    <w:nsid w:val="26A02C5E"/>
    <w:multiLevelType w:val="hybridMultilevel"/>
    <w:lvl w:ilvl="0">
      <w:lvlJc w:val="left"/>
      <w:lvlText w:val="•"/>
      <w:numFmt w:val="bullet"/>
      <w:start w:val="1"/>
    </w:lvl>
  </w:abstractNum>
  <w:abstractNum w:abstractNumId="156">
    <w:nsid w:val="541C8153"/>
    <w:multiLevelType w:val="hybridMultilevel"/>
    <w:lvl w:ilvl="0">
      <w:lvlJc w:val="left"/>
      <w:lvlText w:val="(%1)"/>
      <w:numFmt w:val="lowerRoman"/>
      <w:start w:val="1"/>
    </w:lvl>
  </w:abstractNum>
  <w:abstractNum w:abstractNumId="157">
    <w:nsid w:val="67906F60"/>
    <w:multiLevelType w:val="hybridMultilevel"/>
    <w:lvl w:ilvl="0">
      <w:lvlJc w:val="left"/>
      <w:lvlText w:val="•"/>
      <w:numFmt w:val="bullet"/>
      <w:start w:val="1"/>
    </w:lvl>
  </w:abstractNum>
  <w:abstractNum w:abstractNumId="158">
    <w:nsid w:val="10DB9DAA"/>
    <w:multiLevelType w:val="hybridMultilevel"/>
    <w:lvl w:ilvl="0">
      <w:lvlJc w:val="left"/>
      <w:lvlText w:val="•"/>
      <w:numFmt w:val="bullet"/>
      <w:start w:val="1"/>
    </w:lvl>
  </w:abstractNum>
  <w:abstractNum w:abstractNumId="159">
    <w:nsid w:val="697D2D2"/>
    <w:multiLevelType w:val="hybridMultilevel"/>
    <w:lvl w:ilvl="0">
      <w:lvlJc w:val="left"/>
      <w:lvlText w:val="•"/>
      <w:numFmt w:val="bullet"/>
      <w:start w:val="1"/>
    </w:lvl>
  </w:abstractNum>
  <w:abstractNum w:abstractNumId="160">
    <w:nsid w:val="6D68AB2"/>
    <w:multiLevelType w:val="hybridMultilevel"/>
    <w:lvl w:ilvl="0">
      <w:lvlJc w:val="left"/>
      <w:lvlText w:val="(%1)"/>
      <w:numFmt w:val="lowerRoman"/>
      <w:start w:val="1"/>
    </w:lvl>
  </w:abstractNum>
  <w:abstractNum w:abstractNumId="161">
    <w:nsid w:val="3A966CD0"/>
    <w:multiLevelType w:val="hybridMultilevel"/>
    <w:lvl w:ilvl="0">
      <w:lvlJc w:val="left"/>
      <w:lvlText w:val="•"/>
      <w:numFmt w:val="bullet"/>
      <w:start w:val="1"/>
    </w:lvl>
  </w:abstractNum>
  <w:abstractNum w:abstractNumId="162">
    <w:nsid w:val="63F37E85"/>
    <w:multiLevelType w:val="hybridMultilevel"/>
    <w:lvl w:ilvl="0">
      <w:lvlJc w:val="left"/>
      <w:lvlText w:val="•"/>
      <w:numFmt w:val="bullet"/>
      <w:start w:val="1"/>
    </w:lvl>
  </w:abstractNum>
  <w:abstractNum w:abstractNumId="163">
    <w:nsid w:val="5895F5FA"/>
    <w:multiLevelType w:val="hybridMultilevel"/>
    <w:lvl w:ilvl="0">
      <w:lvlJc w:val="left"/>
      <w:lvlText w:val="•"/>
      <w:numFmt w:val="bullet"/>
      <w:start w:val="1"/>
    </w:lvl>
  </w:abstractNum>
  <w:abstractNum w:abstractNumId="164">
    <w:nsid w:val="38A5D054"/>
    <w:multiLevelType w:val="hybridMultilevel"/>
    <w:lvl w:ilvl="0">
      <w:lvlJc w:val="left"/>
      <w:lvlText w:val="•"/>
      <w:numFmt w:val="bullet"/>
      <w:start w:val="1"/>
    </w:lvl>
  </w:abstractNum>
  <w:abstractNum w:abstractNumId="165">
    <w:nsid w:val="F3F09D8"/>
    <w:multiLevelType w:val="hybridMultilevel"/>
    <w:lvl w:ilvl="0">
      <w:lvlJc w:val="left"/>
      <w:lvlText w:val="•"/>
      <w:numFmt w:val="bullet"/>
      <w:start w:val="1"/>
    </w:lvl>
  </w:abstractNum>
  <w:abstractNum w:abstractNumId="166">
    <w:nsid w:val="4B793735"/>
    <w:multiLevelType w:val="hybridMultilevel"/>
    <w:lvl w:ilvl="0">
      <w:lvlJc w:val="left"/>
      <w:lvlText w:val="•"/>
      <w:numFmt w:val="bullet"/>
      <w:start w:val="1"/>
    </w:lvl>
  </w:abstractNum>
  <w:abstractNum w:abstractNumId="167">
    <w:nsid w:val="4A10B4E8"/>
    <w:multiLevelType w:val="hybridMultilevel"/>
    <w:lvl w:ilvl="0">
      <w:lvlJc w:val="left"/>
      <w:lvlText w:val="(%1)"/>
      <w:numFmt w:val="decimal"/>
      <w:start w:val="1"/>
    </w:lvl>
  </w:abstractNum>
  <w:abstractNum w:abstractNumId="168">
    <w:nsid w:val="43D3BCD4"/>
    <w:multiLevelType w:val="hybridMultilevel"/>
    <w:lvl w:ilvl="0">
      <w:lvlJc w:val="left"/>
      <w:lvlText w:val="&amp;"/>
      <w:numFmt w:val="bullet"/>
      <w:start w:val="1"/>
    </w:lvl>
    <w:lvl w:ilvl="1">
      <w:lvlJc w:val="left"/>
      <w:lvlText w:val="(%2)"/>
      <w:numFmt w:val="lowerRoman"/>
      <w:start w:val="1"/>
    </w:lvl>
  </w:abstractNum>
  <w:abstractNum w:abstractNumId="169">
    <w:nsid w:val="4C2A7166"/>
    <w:multiLevelType w:val="hybridMultilevel"/>
    <w:lvl w:ilvl="0">
      <w:lvlJc w:val="left"/>
      <w:lvlText w:val="(%1)"/>
      <w:numFmt w:val="lowerLetter"/>
      <w:start w:val="1"/>
    </w:lvl>
  </w:abstractNum>
  <w:abstractNum w:abstractNumId="170">
    <w:nsid w:val="2E534A82"/>
    <w:multiLevelType w:val="hybridMultilevel"/>
    <w:lvl w:ilvl="0">
      <w:lvlJc w:val="left"/>
      <w:lvlText w:val="(%1)"/>
      <w:numFmt w:val="lowerLetter"/>
      <w:start w:val="1"/>
    </w:lvl>
  </w:abstractNum>
  <w:abstractNum w:abstractNumId="171">
    <w:nsid w:val="26F2D364"/>
    <w:multiLevelType w:val="hybridMultilevel"/>
    <w:lvl w:ilvl="0">
      <w:lvlJc w:val="left"/>
      <w:lvlText w:val="(%1)"/>
      <w:numFmt w:val="lowerLetter"/>
      <w:start w:val="6"/>
    </w:lvl>
  </w:abstractNum>
  <w:abstractNum w:abstractNumId="172">
    <w:nsid w:val="71C1AF98"/>
    <w:multiLevelType w:val="hybridMultilevel"/>
    <w:lvl w:ilvl="0">
      <w:lvlJc w:val="left"/>
      <w:lvlText w:val="(%1)"/>
      <w:numFmt w:val="lowerLetter"/>
      <w:start w:val="1"/>
    </w:lvl>
  </w:abstractNum>
  <w:abstractNum w:abstractNumId="173">
    <w:nsid w:val="3D00B9D9"/>
    <w:multiLevelType w:val="hybridMultilevel"/>
    <w:lvl w:ilvl="0">
      <w:lvlJc w:val="left"/>
      <w:lvlText w:val="(%1)"/>
      <w:numFmt w:val="lowerLetter"/>
      <w:start w:val="1"/>
    </w:lvl>
  </w:abstractNum>
  <w:abstractNum w:abstractNumId="174">
    <w:nsid w:val="15BCABA8"/>
    <w:multiLevelType w:val="hybridMultilevel"/>
    <w:lvl w:ilvl="0">
      <w:lvlJc w:val="left"/>
      <w:lvlText w:val="(%1)"/>
      <w:numFmt w:val="lowerLetter"/>
      <w:start w:val="1"/>
    </w:lvl>
  </w:abstractNum>
  <w:abstractNum w:abstractNumId="175">
    <w:nsid w:val="4E0B9A87"/>
    <w:multiLevelType w:val="hybridMultilevel"/>
    <w:lvl w:ilvl="0">
      <w:lvlJc w:val="left"/>
      <w:lvlText w:val="•"/>
      <w:numFmt w:val="bullet"/>
      <w:start w:val="1"/>
    </w:lvl>
  </w:abstractNum>
  <w:abstractNum w:abstractNumId="176">
    <w:nsid w:val="434BAE75"/>
    <w:multiLevelType w:val="hybridMultilevel"/>
    <w:lvl w:ilvl="0">
      <w:lvlJc w:val="left"/>
      <w:lvlText w:val="(%1)"/>
      <w:numFmt w:val="lowerRoman"/>
      <w:start w:val="1"/>
    </w:lvl>
  </w:abstractNum>
  <w:abstractNum w:abstractNumId="177">
    <w:nsid w:val="4F38F265"/>
    <w:multiLevelType w:val="hybridMultilevel"/>
    <w:lvl w:ilvl="0">
      <w:lvlJc w:val="left"/>
      <w:lvlText w:val="$"/>
      <w:numFmt w:val="bullet"/>
      <w:start w:val="1"/>
    </w:lvl>
  </w:abstractNum>
  <w:abstractNum w:abstractNumId="178">
    <w:nsid w:val="4C502870"/>
    <w:multiLevelType w:val="hybridMultilevel"/>
    <w:lvl w:ilvl="0">
      <w:lvlJc w:val="left"/>
      <w:lvlText w:val="&amp;"/>
      <w:numFmt w:val="bullet"/>
      <w:start w:val="1"/>
    </w:lvl>
  </w:abstractNum>
  <w:abstractNum w:abstractNumId="179">
    <w:nsid w:val="1DE8725A"/>
    <w:multiLevelType w:val="hybridMultilevel"/>
    <w:lvl w:ilvl="0">
      <w:lvlJc w:val="left"/>
      <w:lvlText w:val="(%1)"/>
      <w:numFmt w:val="lowerRoman"/>
      <w:start w:val="2"/>
    </w:lvl>
  </w:abstractNum>
  <w:abstractNum w:abstractNumId="180">
    <w:nsid w:val="6A37288A"/>
    <w:multiLevelType w:val="hybridMultilevel"/>
    <w:lvl w:ilvl="0">
      <w:lvlJc w:val="left"/>
      <w:lvlText w:val="(%1)"/>
      <w:numFmt w:val="lowerRoman"/>
      <w:start w:val="4"/>
    </w:lvl>
  </w:abstractNum>
  <w:abstractNum w:abstractNumId="181">
    <w:nsid w:val="8F8B73F"/>
    <w:multiLevelType w:val="hybridMultilevel"/>
    <w:lvl w:ilvl="0">
      <w:lvlJc w:val="left"/>
      <w:lvlText w:val="•"/>
      <w:numFmt w:val="bullet"/>
      <w:start w:val="1"/>
    </w:lvl>
  </w:abstractNum>
  <w:abstractNum w:abstractNumId="182">
    <w:nsid w:val="CA6B462"/>
    <w:multiLevelType w:val="hybridMultilevel"/>
    <w:lvl w:ilvl="0">
      <w:lvlJc w:val="left"/>
      <w:lvlText w:val="•"/>
      <w:numFmt w:val="bullet"/>
      <w:start w:val="1"/>
    </w:lvl>
  </w:abstractNum>
  <w:abstractNum w:abstractNumId="183">
    <w:nsid w:val="763CB680"/>
    <w:multiLevelType w:val="hybridMultilevel"/>
    <w:lvl w:ilvl="0">
      <w:lvlJc w:val="left"/>
      <w:lvlText w:val="•"/>
      <w:numFmt w:val="bullet"/>
      <w:start w:val="1"/>
    </w:lvl>
  </w:abstractNum>
  <w:abstractNum w:abstractNumId="184">
    <w:nsid w:val="15B71329"/>
    <w:multiLevelType w:val="hybridMultilevel"/>
    <w:lvl w:ilvl="0">
      <w:lvlJc w:val="left"/>
      <w:lvlText w:val="•"/>
      <w:numFmt w:val="bullet"/>
      <w:start w:val="1"/>
    </w:lvl>
  </w:abstractNum>
  <w:abstractNum w:abstractNumId="185">
    <w:nsid w:val="3DA97044"/>
    <w:multiLevelType w:val="hybridMultilevel"/>
    <w:lvl w:ilvl="0">
      <w:lvlJc w:val="left"/>
      <w:lvlText w:val="•"/>
      <w:numFmt w:val="bullet"/>
      <w:start w:val="1"/>
    </w:lvl>
  </w:abstractNum>
  <w:abstractNum w:abstractNumId="186">
    <w:nsid w:val="1CDCE2DE"/>
    <w:multiLevelType w:val="hybridMultilevel"/>
    <w:lvl w:ilvl="0">
      <w:lvlJc w:val="left"/>
      <w:lvlText w:val="•"/>
      <w:numFmt w:val="bullet"/>
      <w:start w:val="1"/>
    </w:lvl>
  </w:abstractNum>
  <w:abstractNum w:abstractNumId="187">
    <w:nsid w:val="69D3947C"/>
    <w:multiLevelType w:val="hybridMultilevel"/>
    <w:lvl w:ilvl="0">
      <w:lvlJc w:val="left"/>
      <w:lvlText w:val="•"/>
      <w:numFmt w:val="bullet"/>
      <w:start w:val="1"/>
    </w:lvl>
  </w:abstractNum>
  <w:abstractNum w:abstractNumId="188">
    <w:nsid w:val="2539DFA5"/>
    <w:multiLevelType w:val="hybridMultilevel"/>
    <w:lvl w:ilvl="0">
      <w:lvlJc w:val="left"/>
      <w:lvlText w:val="(%1)"/>
      <w:numFmt w:val="decimal"/>
      <w:start w:val="1"/>
    </w:lvl>
  </w:abstractNum>
  <w:abstractNum w:abstractNumId="189">
    <w:nsid w:val="2DB88089"/>
    <w:multiLevelType w:val="hybridMultilevel"/>
    <w:lvl w:ilvl="0">
      <w:lvlJc w:val="left"/>
      <w:lvlText w:val="•"/>
      <w:numFmt w:val="bullet"/>
      <w:start w:val="1"/>
    </w:lvl>
  </w:abstractNum>
  <w:abstractNum w:abstractNumId="190">
    <w:nsid w:val="706B674E"/>
    <w:multiLevelType w:val="hybridMultilevel"/>
    <w:lvl w:ilvl="0">
      <w:lvlJc w:val="left"/>
      <w:lvlText w:val="•"/>
      <w:numFmt w:val="bullet"/>
      <w:start w:val="1"/>
    </w:lvl>
  </w:abstractNum>
  <w:abstractNum w:abstractNumId="191">
    <w:nsid w:val="2C106A57"/>
    <w:multiLevelType w:val="hybridMultilevel"/>
    <w:lvl w:ilvl="0">
      <w:lvlJc w:val="left"/>
      <w:lvlText w:val="•"/>
      <w:numFmt w:val="bullet"/>
      <w:start w:val="1"/>
    </w:lvl>
  </w:abstractNum>
  <w:abstractNum w:abstractNumId="192">
    <w:nsid w:val="684EED59"/>
    <w:multiLevelType w:val="hybridMultilevel"/>
    <w:lvl w:ilvl="0">
      <w:lvlJc w:val="left"/>
      <w:lvlText w:val="•"/>
      <w:numFmt w:val="bullet"/>
      <w:start w:val="1"/>
    </w:lvl>
  </w:abstractNum>
  <w:abstractNum w:abstractNumId="193">
    <w:nsid w:val="545EE5D3"/>
    <w:multiLevelType w:val="hybridMultilevel"/>
    <w:lvl w:ilvl="0">
      <w:lvlJc w:val="left"/>
      <w:lvlText w:val="(%1)"/>
      <w:numFmt w:val="decimal"/>
      <w:start w:val="1"/>
    </w:lvl>
  </w:abstractNum>
  <w:abstractNum w:abstractNumId="194">
    <w:nsid w:val="4A66051"/>
    <w:multiLevelType w:val="hybridMultilevel"/>
    <w:lvl w:ilvl="0">
      <w:lvlJc w:val="left"/>
      <w:lvlText w:val="•"/>
      <w:numFmt w:val="bullet"/>
      <w:start w:val="1"/>
    </w:lvl>
  </w:abstractNum>
  <w:abstractNum w:abstractNumId="195">
    <w:nsid w:val="20F4BDAD"/>
    <w:multiLevelType w:val="hybridMultilevel"/>
    <w:lvl w:ilvl="0">
      <w:lvlJc w:val="left"/>
      <w:lvlText w:val="•"/>
      <w:numFmt w:val="bullet"/>
      <w:start w:val="1"/>
    </w:lvl>
  </w:abstractNum>
  <w:abstractNum w:abstractNumId="196">
    <w:nsid w:val="639DEFAC"/>
    <w:multiLevelType w:val="hybridMultilevel"/>
    <w:lvl w:ilvl="0">
      <w:lvlJc w:val="left"/>
      <w:lvlText w:val="•"/>
      <w:numFmt w:val="bullet"/>
      <w:start w:val="1"/>
    </w:lvl>
  </w:abstractNum>
  <w:abstractNum w:abstractNumId="197">
    <w:nsid w:val="501F9786"/>
    <w:multiLevelType w:val="hybridMultilevel"/>
    <w:lvl w:ilvl="0">
      <w:lvlJc w:val="left"/>
      <w:lvlText w:val="•"/>
      <w:numFmt w:val="bullet"/>
      <w:start w:val="1"/>
    </w:lvl>
  </w:abstractNum>
  <w:abstractNum w:abstractNumId="198">
    <w:nsid w:val="6B057295"/>
    <w:multiLevelType w:val="hybridMultilevel"/>
    <w:lvl w:ilvl="0">
      <w:lvlJc w:val="left"/>
      <w:lvlText w:val="(%1)"/>
      <w:numFmt w:val="lowerRoman"/>
      <w:start w:val="1"/>
    </w:lvl>
  </w:abstractNum>
  <w:abstractNum w:abstractNumId="199">
    <w:nsid w:val="2771AC80"/>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00">
    <w:nsid w:val="1C4A08EC"/>
    <w:multiLevelType w:val="hybridMultilevel"/>
    <w:lvl w:ilvl="0">
      <w:lvlJc w:val="left"/>
      <w:lvlText w:val="(%1)"/>
      <w:numFmt w:val="decimal"/>
      <w:start w:val="4"/>
    </w:lvl>
    <w:lvl w:ilvl="1">
      <w:lvlJc w:val="left"/>
      <w:lvlText w:val="•"/>
      <w:numFmt w:val="bullet"/>
      <w:start w:val="1"/>
    </w:lvl>
  </w:abstractNum>
  <w:abstractNum w:abstractNumId="201">
    <w:nsid w:val="1958BD17"/>
    <w:multiLevelType w:val="hybridMultilevel"/>
    <w:lvl w:ilvl="0">
      <w:lvlJc w:val="left"/>
      <w:lvlText w:val="•"/>
      <w:numFmt w:val="bullet"/>
      <w:start w:val="1"/>
    </w:lvl>
  </w:abstractNum>
  <w:abstractNum w:abstractNumId="202">
    <w:nsid w:val="4E647FE4"/>
    <w:multiLevelType w:val="hybridMultilevel"/>
    <w:lvl w:ilvl="0">
      <w:lvlJc w:val="left"/>
      <w:lvlText w:val="•"/>
      <w:numFmt w:val="bullet"/>
      <w:start w:val="1"/>
    </w:lvl>
  </w:abstractNum>
  <w:abstractNum w:abstractNumId="203">
    <w:nsid w:val="E0BB885"/>
    <w:multiLevelType w:val="hybridMultilevel"/>
    <w:lvl w:ilvl="0">
      <w:lvlJc w:val="left"/>
      <w:lvlText w:val="•"/>
      <w:numFmt w:val="bullet"/>
      <w:start w:val="1"/>
    </w:lvl>
  </w:abstractNum>
  <w:abstractNum w:abstractNumId="204">
    <w:nsid w:val="565976F1"/>
    <w:multiLevelType w:val="hybridMultilevel"/>
    <w:lvl w:ilvl="0">
      <w:lvlJc w:val="left"/>
      <w:lvlText w:val="•"/>
      <w:numFmt w:val="bullet"/>
      <w:start w:val="1"/>
    </w:lvl>
  </w:abstractNum>
  <w:abstractNum w:abstractNumId="205">
    <w:nsid w:val="64212B8C"/>
    <w:multiLevelType w:val="hybridMultilevel"/>
    <w:lvl w:ilvl="0">
      <w:lvlJc w:val="left"/>
      <w:lvlText w:val="•"/>
      <w:numFmt w:val="bullet"/>
      <w:start w:val="1"/>
    </w:lvl>
  </w:abstractNum>
  <w:abstractNum w:abstractNumId="206">
    <w:nsid w:val="5C17530C"/>
    <w:multiLevelType w:val="hybridMultilevel"/>
    <w:lvl w:ilvl="0">
      <w:lvlJc w:val="left"/>
      <w:lvlText w:val="(%1)"/>
      <w:numFmt w:val="lowerRoman"/>
      <w:start w:val="2"/>
    </w:lvl>
  </w:abstractNum>
  <w:abstractNum w:abstractNumId="207">
    <w:nsid w:val="19A52566"/>
    <w:multiLevelType w:val="hybridMultilevel"/>
    <w:lvl w:ilvl="0">
      <w:lvlJc w:val="left"/>
      <w:lvlText w:val="•"/>
      <w:numFmt w:val="bullet"/>
      <w:start w:val="1"/>
    </w:lvl>
  </w:abstractNum>
  <w:abstractNum w:abstractNumId="208">
    <w:nsid w:val="335A1DF1"/>
    <w:multiLevelType w:val="hybridMultilevel"/>
    <w:lvl w:ilvl="0">
      <w:lvlJc w:val="left"/>
      <w:lvlText w:val="•"/>
      <w:numFmt w:val="bullet"/>
      <w:start w:val="1"/>
    </w:lvl>
  </w:abstractNum>
  <w:abstractNum w:abstractNumId="209">
    <w:nsid w:val="28677B7C"/>
    <w:multiLevelType w:val="hybridMultilevel"/>
    <w:lvl w:ilvl="0">
      <w:lvlJc w:val="left"/>
      <w:lvlText w:val="(%1)"/>
      <w:numFmt w:val="decimal"/>
      <w:start w:val="1"/>
    </w:lvl>
  </w:abstractNum>
  <w:abstractNum w:abstractNumId="210">
    <w:nsid w:val="378D97C0"/>
    <w:multiLevelType w:val="hybridMultilevel"/>
    <w:lvl w:ilvl="0">
      <w:lvlJc w:val="left"/>
      <w:lvlText w:val="•"/>
      <w:numFmt w:val="bullet"/>
      <w:start w:val="1"/>
    </w:lvl>
  </w:abstractNum>
  <w:abstractNum w:abstractNumId="211">
    <w:nsid w:val="1D91467C"/>
    <w:multiLevelType w:val="hybridMultilevel"/>
    <w:lvl w:ilvl="0">
      <w:lvlJc w:val="left"/>
      <w:lvlText w:val="•"/>
      <w:numFmt w:val="bullet"/>
      <w:start w:val="1"/>
    </w:lvl>
  </w:abstractNum>
  <w:abstractNum w:abstractNumId="212">
    <w:nsid w:val="316032BB"/>
    <w:multiLevelType w:val="hybridMultilevel"/>
    <w:lvl w:ilvl="0">
      <w:lvlJc w:val="left"/>
      <w:lvlText w:val="•"/>
      <w:numFmt w:val="bullet"/>
      <w:start w:val="1"/>
    </w:lvl>
  </w:abstractNum>
  <w:abstractNum w:abstractNumId="213">
    <w:nsid w:val="44344C22"/>
    <w:multiLevelType w:val="hybridMultilevel"/>
    <w:lvl w:ilvl="0">
      <w:lvlJc w:val="left"/>
      <w:lvlText w:val="•"/>
      <w:numFmt w:val="bullet"/>
      <w:start w:val="1"/>
    </w:lvl>
  </w:abstractNum>
  <w:abstractNum w:abstractNumId="214">
    <w:nsid w:val="13CDFCFC"/>
    <w:multiLevelType w:val="hybridMultilevel"/>
    <w:lvl w:ilvl="0">
      <w:lvlJc w:val="left"/>
      <w:lvlText w:val="•"/>
      <w:numFmt w:val="bullet"/>
      <w:start w:val="1"/>
    </w:lvl>
  </w:abstractNum>
  <w:abstractNum w:abstractNumId="215">
    <w:nsid w:val="471745E4"/>
    <w:multiLevelType w:val="hybridMultilevel"/>
    <w:lvl w:ilvl="0">
      <w:lvlJc w:val="left"/>
      <w:lvlText w:val="(%1)"/>
      <w:numFmt w:val="lowerRoman"/>
      <w:start w:val="2"/>
    </w:lvl>
  </w:abstractNum>
  <w:abstractNum w:abstractNumId="216">
    <w:nsid w:val="1DDBC66"/>
    <w:multiLevelType w:val="hybridMultilevel"/>
    <w:lvl w:ilvl="0">
      <w:lvlJc w:val="left"/>
      <w:lvlText w:val="(%1)"/>
      <w:numFmt w:val="lowerRoman"/>
      <w:start w:val="4"/>
    </w:lvl>
  </w:abstractNum>
  <w:abstractNum w:abstractNumId="217">
    <w:nsid w:val="30AADFDA"/>
    <w:multiLevelType w:val="hybridMultilevel"/>
    <w:lvl w:ilvl="0">
      <w:lvlJc w:val="left"/>
      <w:lvlText w:val="•"/>
      <w:numFmt w:val="bullet"/>
      <w:start w:val="1"/>
    </w:lvl>
  </w:abstractNum>
  <w:abstractNum w:abstractNumId="218">
    <w:nsid w:val="30EADA61"/>
    <w:multiLevelType w:val="hybridMultilevel"/>
    <w:lvl w:ilvl="0">
      <w:lvlJc w:val="left"/>
      <w:lvlText w:val="•"/>
      <w:numFmt w:val="bullet"/>
      <w:start w:val="1"/>
    </w:lvl>
  </w:abstractNum>
  <w:abstractNum w:abstractNumId="219">
    <w:nsid w:val="27179C0B"/>
    <w:multiLevelType w:val="hybridMultilevel"/>
    <w:lvl w:ilvl="0">
      <w:lvlJc w:val="left"/>
      <w:lvlText w:val="•"/>
      <w:numFmt w:val="bullet"/>
      <w:start w:val="1"/>
    </w:lvl>
  </w:abstractNum>
  <w:abstractNum w:abstractNumId="220">
    <w:nsid w:val="5E636063"/>
    <w:multiLevelType w:val="hybridMultilevel"/>
    <w:lvl w:ilvl="0">
      <w:lvlJc w:val="left"/>
      <w:lvlText w:val="•"/>
      <w:numFmt w:val="bullet"/>
      <w:start w:val="1"/>
    </w:lvl>
  </w:abstractNum>
  <w:abstractNum w:abstractNumId="221">
    <w:nsid w:val="215641AF"/>
    <w:multiLevelType w:val="hybridMultilevel"/>
    <w:lvl w:ilvl="0">
      <w:lvlJc w:val="left"/>
      <w:lvlText w:val="(%1)"/>
      <w:numFmt w:val="lowerLetter"/>
      <w:start w:val="2"/>
    </w:lvl>
  </w:abstractNum>
  <w:abstractNum w:abstractNumId="222">
    <w:nsid w:val="53280662"/>
    <w:multiLevelType w:val="hybridMultilevel"/>
    <w:lvl w:ilvl="0">
      <w:lvlJc w:val="left"/>
      <w:lvlText w:val="•"/>
      <w:numFmt w:val="bullet"/>
      <w:start w:val="1"/>
    </w:lvl>
  </w:abstractNum>
  <w:abstractNum w:abstractNumId="223">
    <w:nsid w:val="46B24DBC"/>
    <w:multiLevelType w:val="hybridMultilevel"/>
    <w:lvl w:ilvl="0">
      <w:lvlJc w:val="left"/>
      <w:lvlText w:val="(%1)"/>
      <w:numFmt w:val="lowerRoman"/>
      <w:start w:val="1"/>
    </w:lvl>
    <w:lvl w:ilvl="1">
      <w:lvlJc w:val="left"/>
      <w:lvlText w:val="•"/>
      <w:numFmt w:val="bullet"/>
      <w:start w:val="1"/>
    </w:lvl>
  </w:abstractNum>
  <w:abstractNum w:abstractNumId="224">
    <w:nsid w:val="75B52783"/>
    <w:multiLevelType w:val="hybridMultilevel"/>
    <w:lvl w:ilvl="0">
      <w:lvlJc w:val="left"/>
      <w:lvlText w:val="•"/>
      <w:numFmt w:val="bullet"/>
      <w:start w:val="1"/>
    </w:lvl>
  </w:abstractNum>
  <w:abstractNum w:abstractNumId="225">
    <w:nsid w:val="57CE66B4"/>
    <w:multiLevelType w:val="hybridMultilevel"/>
    <w:lvl w:ilvl="0">
      <w:lvlJc w:val="left"/>
      <w:lvlText w:val="•"/>
      <w:numFmt w:val="bullet"/>
      <w:start w:val="1"/>
    </w:lvl>
  </w:abstractNum>
  <w:abstractNum w:abstractNumId="226">
    <w:nsid w:val="67A70B69"/>
    <w:multiLevelType w:val="hybridMultilevel"/>
    <w:lvl w:ilvl="0">
      <w:lvlJc w:val="left"/>
      <w:lvlText w:val="•"/>
      <w:numFmt w:val="bullet"/>
      <w:start w:val="1"/>
    </w:lvl>
  </w:abstractNum>
  <w:abstractNum w:abstractNumId="227">
    <w:nsid w:val="5953172F"/>
    <w:multiLevelType w:val="hybridMultilevel"/>
    <w:lvl w:ilvl="0">
      <w:lvlJc w:val="left"/>
      <w:lvlText w:val="(%1)"/>
      <w:numFmt w:val="lowerRoman"/>
      <w:start w:val="1"/>
    </w:lvl>
  </w:abstractNum>
  <w:abstractNum w:abstractNumId="228">
    <w:nsid w:val="27EDFE3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29">
    <w:nsid w:val="52AC7DFF"/>
    <w:multiLevelType w:val="hybridMultilevel"/>
    <w:lvl w:ilvl="0">
      <w:lvlJc w:val="left"/>
      <w:lvlText w:val="•"/>
      <w:numFmt w:val="bullet"/>
      <w:start w:val="1"/>
    </w:lvl>
  </w:abstractNum>
  <w:abstractNum w:abstractNumId="230">
    <w:nsid w:val="C4C3AF"/>
    <w:multiLevelType w:val="hybridMultilevel"/>
    <w:lvl w:ilvl="0">
      <w:lvlJc w:val="left"/>
      <w:lvlText w:val="•"/>
      <w:numFmt w:val="bullet"/>
      <w:start w:val="1"/>
    </w:lvl>
  </w:abstractNum>
  <w:abstractNum w:abstractNumId="231">
    <w:nsid w:val="44380727"/>
    <w:multiLevelType w:val="hybridMultilevel"/>
    <w:lvl w:ilvl="0">
      <w:lvlJc w:val="left"/>
      <w:lvlText w:val="•"/>
      <w:numFmt w:val="bullet"/>
      <w:start w:val="1"/>
    </w:lvl>
  </w:abstractNum>
  <w:abstractNum w:abstractNumId="232">
    <w:nsid w:val="6C053B16"/>
    <w:multiLevelType w:val="hybridMultilevel"/>
    <w:lvl w:ilvl="0">
      <w:lvlJc w:val="left"/>
      <w:lvlText w:val="•"/>
      <w:numFmt w:val="bullet"/>
      <w:start w:val="1"/>
    </w:lvl>
  </w:abstractNum>
  <w:abstractNum w:abstractNumId="233">
    <w:nsid w:val="4F294393"/>
    <w:multiLevelType w:val="hybridMultilevel"/>
    <w:lvl w:ilvl="0">
      <w:lvlJc w:val="left"/>
      <w:lvlText w:val="•"/>
      <w:numFmt w:val="bullet"/>
      <w:start w:val="1"/>
    </w:lvl>
  </w:abstractNum>
  <w:abstractNum w:abstractNumId="234">
    <w:nsid w:val="5243BF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2023-10-23T15:44:20Z</dcterms:created>
  <dcterms:modified xsi:type="dcterms:W3CDTF">2023-10-23T15:44:20Z</dcterms:modified>
</cp:coreProperties>
</file>