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69" w:lineRule="exact"/>
        <w:rPr>
          <w:sz w:val="24"/>
          <w:szCs w:val="24"/>
          <w:color w:val="auto"/>
        </w:rPr>
      </w:pPr>
    </w:p>
    <w:p>
      <w:pPr>
        <w:jc w:val="center"/>
        <w:ind w:left="1760" w:right="240"/>
        <w:spacing w:after="0" w:line="271"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001-41842</w:t>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Abivax SA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 and translation of Registrant’s name into English)</w:t>
      </w: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7-11 boulevard Haussmann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75009 Paris, France</w:t>
      </w: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67" w:lineRule="exact"/>
        <w:rPr>
          <w:sz w:val="24"/>
          <w:szCs w:val="24"/>
          <w:color w:val="auto"/>
        </w:rPr>
      </w:pPr>
    </w:p>
    <w:p>
      <w:pPr>
        <w:ind w:left="300" w:right="379"/>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019"/>
          </w:cols>
          <w:pgMar w:left="144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318"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color w:val="auto"/>
        </w:rPr>
        <w:t>On May 22, 2026, Abivax SA (the "Registrant") announced its financial results as of and for the three months ended March 31, 2026 and issued a press release and its unaudited interim condensed consolidated financial statements, copies of which are attached hereto as Exhibits 99.1 and 99.2, respectively, and incorporated herein by reference.</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Incorporation by Reference</w:t>
      </w:r>
    </w:p>
    <w:p>
      <w:pPr>
        <w:spacing w:after="0" w:line="241" w:lineRule="exact"/>
        <w:rPr>
          <w:sz w:val="20"/>
          <w:szCs w:val="20"/>
          <w:color w:val="auto"/>
        </w:rPr>
      </w:pPr>
    </w:p>
    <w:p>
      <w:pPr>
        <w:ind w:left="300" w:right="319"/>
        <w:spacing w:after="0" w:line="245" w:lineRule="auto"/>
        <w:rPr>
          <w:sz w:val="20"/>
          <w:szCs w:val="20"/>
          <w:color w:val="auto"/>
        </w:rPr>
      </w:pPr>
      <w:r>
        <w:rPr>
          <w:rFonts w:ascii="Times New Roman" w:cs="Times New Roman" w:eastAsia="Times New Roman" w:hAnsi="Times New Roman"/>
          <w:sz w:val="18"/>
          <w:szCs w:val="18"/>
          <w:color w:val="auto"/>
        </w:rPr>
        <w:t>This Report on Form 6-K, including Exhibits 99.1 and 99.2, except for the quotes contained therein, shall be deemed to be incorporated by reference into the Registrant’s registration statements on Form F-3 (File Nos. 333-283336 and 333-288884) and Form S-8 (File Nos. 333-286069 and 333-294544) and to be part thereof from the date on which this Report is filed, to the extent not superseded by documents or reports subsequently filed.</w:t>
      </w:r>
    </w:p>
    <w:p>
      <w:pPr>
        <w:spacing w:after="0" w:line="200" w:lineRule="exact"/>
        <w:rPr>
          <w:sz w:val="20"/>
          <w:szCs w:val="20"/>
          <w:color w:val="auto"/>
        </w:rPr>
      </w:pPr>
    </w:p>
    <w:p>
      <w:pPr>
        <w:spacing w:after="0" w:line="21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 Index</w:t>
            </w:r>
          </w:p>
        </w:tc>
        <w:tc>
          <w:tcPr>
            <w:tcW w:w="180" w:type="dxa"/>
            <w:vAlign w:val="bottom"/>
          </w:tcPr>
          <w:p>
            <w:pPr>
              <w:spacing w:after="0"/>
              <w:rPr>
                <w:sz w:val="13"/>
                <w:szCs w:val="13"/>
                <w:color w:val="auto"/>
              </w:rPr>
            </w:pPr>
          </w:p>
        </w:tc>
        <w:tc>
          <w:tcPr>
            <w:tcW w:w="3960" w:type="dxa"/>
            <w:vAlign w:val="bottom"/>
          </w:tcPr>
          <w:p>
            <w:pPr>
              <w:spacing w:after="0"/>
              <w:rPr>
                <w:sz w:val="13"/>
                <w:szCs w:val="13"/>
                <w:color w:val="auto"/>
              </w:rPr>
            </w:pPr>
          </w:p>
        </w:tc>
      </w:tr>
      <w:tr>
        <w:trPr>
          <w:trHeight w:val="308"/>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99.1</w:t>
            </w:r>
          </w:p>
        </w:tc>
        <w:tc>
          <w:tcPr>
            <w:tcW w:w="3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Press release, dated May 22, 2026</w:t>
            </w: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99.2</w:t>
            </w:r>
          </w:p>
        </w:tc>
        <w:tc>
          <w:tcPr>
            <w:tcW w:w="3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Unaudited Interim Condensed Consolidated Financial Statements</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1440" w:right="1440" w:bottom="1440" w:gutter="0" w:footer="0" w:header="0"/>
          <w:type w:val="continuous"/>
        </w:sectPr>
      </w:pPr>
    </w:p>
    <w:bookmarkStart w:id="2" w:name="page3"/>
    <w:bookmarkEnd w:id="2"/>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w:t>
      </w:r>
    </w:p>
    <w:p>
      <w:pPr>
        <w:spacing w:after="0" w:line="39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u w:val="single" w:color="auto"/>
          <w:color w:val="auto"/>
        </w:rPr>
        <w:t>Abivax SA</w:t>
      </w:r>
    </w:p>
    <w:p>
      <w:pPr>
        <w:spacing w:after="0" w:line="1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color w:val="auto"/>
        </w:rPr>
        <w:t>(Registrant)</w:t>
      </w:r>
    </w:p>
    <w:p>
      <w:pPr>
        <w:spacing w:after="0" w:line="29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Date: May 22, 2026</w:t>
            </w:r>
          </w:p>
        </w:tc>
        <w:tc>
          <w:tcPr>
            <w:tcW w:w="298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Marc de Garidel</w:t>
            </w:r>
          </w:p>
        </w:tc>
        <w:tc>
          <w:tcPr>
            <w:tcW w:w="120" w:type="dxa"/>
            <w:vAlign w:val="bottom"/>
          </w:tcPr>
          <w:p>
            <w:pPr>
              <w:spacing w:after="0"/>
              <w:rPr>
                <w:sz w:val="13"/>
                <w:szCs w:val="13"/>
                <w:color w:val="auto"/>
              </w:rPr>
            </w:pPr>
          </w:p>
        </w:tc>
      </w:tr>
      <w:tr>
        <w:trPr>
          <w:trHeight w:val="227"/>
        </w:trPr>
        <w:tc>
          <w:tcPr>
            <w:tcW w:w="3980" w:type="dxa"/>
            <w:vAlign w:val="bottom"/>
          </w:tcPr>
          <w:p>
            <w:pPr>
              <w:spacing w:after="0"/>
              <w:rPr>
                <w:sz w:val="19"/>
                <w:szCs w:val="19"/>
                <w:color w:val="auto"/>
              </w:rPr>
            </w:pPr>
          </w:p>
        </w:tc>
        <w:tc>
          <w:tcPr>
            <w:tcW w:w="4220" w:type="dxa"/>
            <w:vAlign w:val="bottom"/>
            <w:gridSpan w:val="3"/>
          </w:tcPr>
          <w:p>
            <w:pPr>
              <w:jc w:val="center"/>
              <w:ind w:left="2768"/>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1440" w:right="1440" w:bottom="1440" w:gutter="0" w:footer="0" w:header="0"/>
          <w:type w:val="continuous"/>
        </w:sectPr>
      </w:pPr>
    </w:p>
    <w:bookmarkStart w:id="3" w:name="page4"/>
    <w:bookmarkEnd w:id="3"/>
    <w:p>
      <w:pPr>
        <w:jc w:val="right"/>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Page</w:t>
      </w:r>
    </w:p>
    <w:p>
      <w:pPr>
        <w:sectPr>
          <w:pgSz w:w="11900" w:h="16838" w:orient="portrait"/>
          <w:cols w:equalWidth="0" w:num="1">
            <w:col w:w="9019"/>
          </w:cols>
          <w:pgMar w:left="1440" w:top="715" w:right="1440" w:bottom="1440" w:gutter="0" w:footer="0" w:header="0"/>
        </w:sectPr>
      </w:pP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INTRODUCTION</w:t>
      </w:r>
      <w:r>
        <w:rPr>
          <w:rFonts w:ascii="Times New Roman" w:cs="Times New Roman" w:eastAsia="Times New Roman" w:hAnsi="Times New Roman"/>
          <w:sz w:val="21"/>
          <w:szCs w:val="21"/>
          <w:color w:val="auto"/>
        </w:rPr>
        <w:t>.................................................................................................................</w:t>
      </w:r>
    </w:p>
    <w:p>
      <w:pPr>
        <w:spacing w:after="0" w:line="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21"/>
          <w:szCs w:val="21"/>
          <w:color w:val="auto"/>
        </w:rPr>
        <w:t>...................................................................................................................</w:t>
      </w:r>
    </w:p>
    <w:p>
      <w:pPr>
        <w:spacing w:after="0" w:line="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OPERATING RESULTS </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INDEX TO THE UNAUDITED INTERIM CONDENSED CONSOLIDATED FINANCIAL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STATEMENTS............................................................................................................................................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F-1</w:t>
      </w:r>
    </w:p>
    <w:p>
      <w:pPr>
        <w:spacing w:after="0" w:line="200" w:lineRule="exact"/>
        <w:rPr>
          <w:sz w:val="20"/>
          <w:szCs w:val="20"/>
          <w:color w:val="auto"/>
        </w:rPr>
      </w:pPr>
    </w:p>
    <w:p>
      <w:pPr>
        <w:sectPr>
          <w:pgSz w:w="11900" w:h="16838" w:orient="portrait"/>
          <w:cols w:equalWidth="0" w:num="2">
            <w:col w:w="7820" w:space="600"/>
            <w:col w:w="599"/>
          </w:cols>
          <w:pgMar w:left="1440" w:top="7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715" w:right="1440" w:bottom="1440" w:gutter="0" w:footer="0" w:header="0"/>
          <w:type w:val="continuous"/>
        </w:sectPr>
      </w:pPr>
    </w:p>
    <w:bookmarkStart w:id="4" w:name="page5"/>
    <w:bookmarkEnd w:id="4"/>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300" w:right="479" w:firstLine="441"/>
        <w:spacing w:after="0" w:line="237"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“Abivax,” “the Company,” “the Group,” “we,” “us” and “our” refer to Abivax SA and its consolidated subsidiary, taken as a whole.</w:t>
      </w:r>
    </w:p>
    <w:p>
      <w:pPr>
        <w:spacing w:after="0" w:line="64" w:lineRule="exact"/>
        <w:rPr>
          <w:sz w:val="20"/>
          <w:szCs w:val="20"/>
          <w:color w:val="auto"/>
        </w:rPr>
      </w:pPr>
    </w:p>
    <w:p>
      <w:pPr>
        <w:ind w:left="300" w:right="299" w:firstLine="441"/>
        <w:spacing w:after="0" w:line="229" w:lineRule="auto"/>
        <w:rPr>
          <w:sz w:val="20"/>
          <w:szCs w:val="20"/>
          <w:color w:val="auto"/>
        </w:rPr>
      </w:pPr>
      <w:r>
        <w:rPr>
          <w:rFonts w:ascii="Times New Roman" w:cs="Times New Roman" w:eastAsia="Times New Roman" w:hAnsi="Times New Roman"/>
          <w:sz w:val="17"/>
          <w:szCs w:val="17"/>
          <w:color w:val="auto"/>
        </w:rPr>
        <w:t xml:space="preserve">“Abivax” and the Abivax logo and other trademarks or service marks of Abivax SA appearing in this quarterly report are the property of Abivax SA. Solely for convenience, the trademarks, service marks and trade names referred to in this quarterly report are listed without the </w:t>
      </w:r>
      <w:r>
        <w:rPr>
          <w:rFonts w:ascii="Times New Roman" w:cs="Times New Roman" w:eastAsia="Times New Roman" w:hAnsi="Times New Roman"/>
          <w:sz w:val="8"/>
          <w:szCs w:val="8"/>
          <w:color w:val="auto"/>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8"/>
          <w:szCs w:val="8"/>
          <w:color w:val="auto"/>
        </w:rPr>
        <w:t>™</w:t>
      </w:r>
      <w:r>
        <w:rPr>
          <w:rFonts w:ascii="Times New Roman" w:cs="Times New Roman" w:eastAsia="Times New Roman" w:hAnsi="Times New Roman"/>
          <w:sz w:val="17"/>
          <w:szCs w:val="17"/>
          <w:color w:val="auto"/>
        </w:rPr>
        <w:t xml:space="preserve"> symbols, but such references should not be construed</w:t>
      </w: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as any indicator that their respective owners will not assert, to the fullest extent under applicable law, their right thereto. All other trademarks, trade names and service marks appearing in this quarterly report are the property of their respective owners. We do not intend to use or display other companies’ trademarks and trade names to imply</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relationship with, or endorsement or sponsorship of us by, any other companies.</w:t>
      </w:r>
    </w:p>
    <w:p>
      <w:pPr>
        <w:spacing w:after="0" w:line="57"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This quarterly report includes our unaudited interim condensed consolidated financial statements of financial position as of March 31, 2026 and December 31, 2025 and the related unaudited condensed consolidated statements</w:t>
      </w: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of loss and comprehensive loss for each of the three-month periods ended March 31, 2026 and March 31, 2025 and the unaudited condensed consolidated statements of cash flows and changes in shareholder's equity for the three-month periods ended March 31, 2026 and March 31, 2025, prepared in accordance with International Financial</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Reporting Standards ("IFRS") as issued by the International Accounting Standards Board ("IASB") and adopted by the European Union ("EU") regulation n°1606/2022 of July 19, 2022. None of our financial statements were prepared in accordance with U.S. generally accepted accounting principles ("U.S. GAAP"). Our financial statements</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are presented in euros and, unless otherwise stated, all monetary amounts are in euros. All references in this quarterly report to “$”, “U.S. dollars” and “dollars” mean U.S. dollars, and all references to “€”, “EUR” and “euros” mean European Monetary Union euros, unless otherwise noted. Throughout this quarterly report, references to</w:t>
      </w:r>
    </w:p>
    <w:p>
      <w:pPr>
        <w:spacing w:after="0" w:line="2" w:lineRule="exact"/>
        <w:rPr>
          <w:sz w:val="20"/>
          <w:szCs w:val="20"/>
          <w:color w:val="auto"/>
        </w:rPr>
      </w:pPr>
    </w:p>
    <w:p>
      <w:pPr>
        <w:ind w:left="300" w:right="359"/>
        <w:spacing w:after="0" w:line="226" w:lineRule="auto"/>
        <w:rPr>
          <w:sz w:val="20"/>
          <w:szCs w:val="20"/>
          <w:color w:val="auto"/>
        </w:rPr>
      </w:pPr>
      <w:r>
        <w:rPr>
          <w:rFonts w:ascii="Times New Roman" w:cs="Times New Roman" w:eastAsia="Times New Roman" w:hAnsi="Times New Roman"/>
          <w:sz w:val="18"/>
          <w:szCs w:val="18"/>
          <w:color w:val="auto"/>
        </w:rPr>
        <w:t>"ADSs" mean American Depositary Shares ("ADSs") or ordinary shares represented by such ADSs, as the case may be.</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94"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This quarterly report contains forward-looking statements within the meaning of Section 27A of the Securities Act of 1933, as amended, and Section 21E of the Securities Exchange Act of 1934, as amended ("Exchange Act"), that are based on our management’s beliefs and assumptions and on information currently available to our</w:t>
      </w:r>
    </w:p>
    <w:p>
      <w:pPr>
        <w:ind w:left="300" w:right="319"/>
        <w:spacing w:after="0" w:line="208" w:lineRule="auto"/>
        <w:rPr>
          <w:sz w:val="20"/>
          <w:szCs w:val="20"/>
          <w:color w:val="auto"/>
        </w:rPr>
      </w:pPr>
      <w:r>
        <w:rPr>
          <w:rFonts w:ascii="Times New Roman" w:cs="Times New Roman" w:eastAsia="Times New Roman" w:hAnsi="Times New Roman"/>
          <w:sz w:val="18"/>
          <w:szCs w:val="18"/>
          <w:color w:val="auto"/>
        </w:rPr>
        <w:t>management. All statements other than present and historical facts and conditions contained in this quarterly report, including statements regarding our future results of operations and financial positions, business strategy, plans and our objectives for future operations, are forward-looking statements. When used in this quarterly report, the words</w:t>
      </w:r>
    </w:p>
    <w:p>
      <w:pPr>
        <w:spacing w:after="0" w:line="2" w:lineRule="exact"/>
        <w:rPr>
          <w:sz w:val="20"/>
          <w:szCs w:val="20"/>
          <w:color w:val="auto"/>
        </w:rPr>
      </w:pPr>
    </w:p>
    <w:p>
      <w:pPr>
        <w:ind w:left="300" w:right="499"/>
        <w:spacing w:after="0" w:line="231" w:lineRule="auto"/>
        <w:rPr>
          <w:sz w:val="20"/>
          <w:szCs w:val="20"/>
          <w:color w:val="auto"/>
        </w:rPr>
      </w:pPr>
      <w:r>
        <w:rPr>
          <w:rFonts w:ascii="Times New Roman" w:cs="Times New Roman" w:eastAsia="Times New Roman" w:hAnsi="Times New Roman"/>
          <w:sz w:val="17"/>
          <w:szCs w:val="17"/>
          <w:color w:val="auto"/>
        </w:rPr>
        <w:t>“anticipate,” “believe,” “can,” “could,” “estimate,” “expect,” “intend,” “is designed to,” “may,” “might,” “plan,” “will,” “would,” “potential,” “predict,” “objective,” “should,” or the negative of these and similar expressions identify forward-looking statements. Forward-looking statements include, but are not limited to, statements about:</w:t>
      </w:r>
    </w:p>
    <w:p>
      <w:pPr>
        <w:spacing w:after="0" w:line="172" w:lineRule="exact"/>
        <w:rPr>
          <w:sz w:val="20"/>
          <w:szCs w:val="20"/>
          <w:color w:val="auto"/>
        </w:rPr>
      </w:pPr>
    </w:p>
    <w:p>
      <w:pPr>
        <w:ind w:left="940" w:right="419" w:hanging="324"/>
        <w:spacing w:after="0" w:line="261" w:lineRule="auto"/>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attaining, maintaining and expanding marketing authorization for our lead drug candidate, obefazimod;</w:t>
      </w:r>
    </w:p>
    <w:p>
      <w:pPr>
        <w:ind w:left="940" w:hanging="324"/>
        <w:spacing w:after="0" w:line="236" w:lineRule="auto"/>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clinical advantages of obefazimod and our future drug candidates;</w:t>
      </w:r>
    </w:p>
    <w:p>
      <w:pPr>
        <w:ind w:left="940" w:right="339" w:hanging="324"/>
        <w:spacing w:after="0" w:line="249" w:lineRule="auto"/>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and clinical trials (and those conducted by third parties) and other research and development programs;</w:t>
      </w:r>
    </w:p>
    <w:p>
      <w:pPr>
        <w:ind w:left="940" w:right="439" w:hanging="324"/>
        <w:spacing w:after="0" w:line="230" w:lineRule="auto"/>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availability of data from our clinical trials, including our Phase 3 maintenance trial of obefazimod in moderately to severely active ulcerative colitis and Phase 2b trial of obefazimod in Crohn’s disease;</w:t>
      </w:r>
    </w:p>
    <w:p>
      <w:pPr>
        <w:ind w:left="940" w:hanging="324"/>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advance drug candidates through clinical development;</w:t>
      </w:r>
    </w:p>
    <w:p>
      <w:pPr>
        <w:spacing w:after="0" w:line="7"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meetings and filings;</w:t>
      </w:r>
    </w:p>
    <w:p>
      <w:pPr>
        <w:spacing w:after="0" w:line="9" w:lineRule="exact"/>
        <w:rPr>
          <w:rFonts w:ascii="Times New Roman" w:cs="Times New Roman" w:eastAsia="Times New Roman" w:hAnsi="Times New Roman"/>
          <w:sz w:val="18"/>
          <w:szCs w:val="18"/>
          <w:color w:val="auto"/>
        </w:rPr>
      </w:pPr>
    </w:p>
    <w:p>
      <w:pPr>
        <w:ind w:left="940" w:right="639" w:hanging="324"/>
        <w:spacing w:after="0" w:line="235" w:lineRule="auto"/>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obefazimod and any of our future drug candidates;</w:t>
      </w:r>
    </w:p>
    <w:p>
      <w:pPr>
        <w:spacing w:after="0" w:line="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drug candidates from our preclinical studies;</w:t>
      </w:r>
    </w:p>
    <w:p>
      <w:pPr>
        <w:spacing w:after="0" w:line="7"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and transition into a commercial-stage company;</w:t>
      </w:r>
    </w:p>
    <w:p>
      <w:pPr>
        <w:spacing w:after="0" w:line="9"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industry;</w:t>
      </w:r>
    </w:p>
    <w:p>
      <w:pPr>
        <w:spacing w:after="0" w:line="9"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strategic relationships or partnerships;</w:t>
      </w:r>
    </w:p>
    <w:p>
      <w:pPr>
        <w:spacing w:after="0" w:line="9" w:lineRule="exact"/>
        <w:rPr>
          <w:rFonts w:ascii="Times New Roman" w:cs="Times New Roman" w:eastAsia="Times New Roman" w:hAnsi="Times New Roman"/>
          <w:sz w:val="18"/>
          <w:szCs w:val="18"/>
          <w:color w:val="auto"/>
        </w:rPr>
      </w:pPr>
    </w:p>
    <w:p>
      <w:pPr>
        <w:ind w:left="940" w:right="439" w:hanging="324"/>
        <w:spacing w:after="0" w:line="250" w:lineRule="auto"/>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propriety technologies and to operate our business without infringing the intellectual property rights and proprietary technology of third parties;</w:t>
      </w:r>
    </w:p>
    <w:p>
      <w:pPr>
        <w:spacing w:after="0" w:line="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cash requirements;</w:t>
      </w:r>
    </w:p>
    <w:p>
      <w:pPr>
        <w:spacing w:after="0" w:line="9" w:lineRule="exact"/>
        <w:rPr>
          <w:rFonts w:ascii="Times New Roman" w:cs="Times New Roman" w:eastAsia="Times New Roman" w:hAnsi="Times New Roman"/>
          <w:sz w:val="18"/>
          <w:szCs w:val="18"/>
          <w:color w:val="auto"/>
        </w:rPr>
      </w:pPr>
    </w:p>
    <w:p>
      <w:pPr>
        <w:ind w:left="940" w:right="959" w:hanging="324"/>
        <w:spacing w:after="0" w:line="250" w:lineRule="auto"/>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the need for additional financing;</w:t>
      </w:r>
    </w:p>
    <w:p>
      <w:pPr>
        <w:ind w:left="940" w:hanging="324"/>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1440" w:right="1440" w:bottom="1440" w:gutter="0" w:footer="0" w:header="0"/>
          <w:type w:val="continuous"/>
        </w:sectPr>
      </w:pPr>
    </w:p>
    <w:bookmarkStart w:id="5" w:name="page6"/>
    <w:bookmarkEnd w:id="5"/>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940" w:hanging="324"/>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w:t>
      </w:r>
    </w:p>
    <w:p>
      <w:pPr>
        <w:spacing w:after="0" w:line="27" w:lineRule="exact"/>
        <w:rPr>
          <w:rFonts w:ascii="Times New Roman" w:cs="Times New Roman" w:eastAsia="Times New Roman" w:hAnsi="Times New Roman"/>
          <w:sz w:val="18"/>
          <w:szCs w:val="18"/>
          <w:color w:val="auto"/>
        </w:rPr>
      </w:pPr>
    </w:p>
    <w:p>
      <w:pPr>
        <w:ind w:left="940" w:right="319" w:hanging="324"/>
        <w:spacing w:after="0" w:line="255"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the global economy or global supply chain, including financial and credit market fluctuations, international trade relations, political turmoil, natural catastrophes, warfare (such as the Russia-Ukraine war and the conflict in the Middle East), and terrorist attacks.</w:t>
      </w:r>
    </w:p>
    <w:p>
      <w:pPr>
        <w:spacing w:after="0" w:line="78" w:lineRule="exact"/>
        <w:rPr>
          <w:sz w:val="20"/>
          <w:szCs w:val="20"/>
          <w:color w:val="auto"/>
        </w:rPr>
      </w:pPr>
    </w:p>
    <w:p>
      <w:pPr>
        <w:ind w:left="300" w:right="299" w:firstLine="441"/>
        <w:spacing w:after="0" w:line="222" w:lineRule="auto"/>
        <w:rPr>
          <w:sz w:val="20"/>
          <w:szCs w:val="20"/>
          <w:color w:val="auto"/>
        </w:rPr>
      </w:pPr>
      <w:r>
        <w:rPr>
          <w:rFonts w:ascii="Times New Roman" w:cs="Times New Roman" w:eastAsia="Times New Roman" w:hAnsi="Times New Roman"/>
          <w:sz w:val="18"/>
          <w:szCs w:val="18"/>
          <w:color w:val="auto"/>
        </w:rPr>
        <w:t>We encourage you to read and carefully consider all of the risk factors disclosed in our annual report on Form 20-F for the year ended December 31, 2025 filed with the Securities and Exchange Commission ("SEC") on March</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23, 2026 (the "Annual Report") under the caption “Item 3.D—Risk Factors” for a more complete understanding of the risks and uncertainties material to our business, including important factors that may cause our actual results to differ materially from those expressed or implied by our forward-looking statements. As a result of these factors, we</w:t>
      </w:r>
    </w:p>
    <w:p>
      <w:pPr>
        <w:spacing w:after="0" w:line="2" w:lineRule="exact"/>
        <w:rPr>
          <w:sz w:val="20"/>
          <w:szCs w:val="20"/>
          <w:color w:val="auto"/>
        </w:rPr>
      </w:pPr>
    </w:p>
    <w:p>
      <w:pPr>
        <w:jc w:val="both"/>
        <w:ind w:left="300" w:right="579"/>
        <w:spacing w:after="0" w:line="220" w:lineRule="auto"/>
        <w:rPr>
          <w:sz w:val="20"/>
          <w:szCs w:val="20"/>
          <w:color w:val="auto"/>
        </w:rPr>
      </w:pPr>
      <w:r>
        <w:rPr>
          <w:rFonts w:ascii="Times New Roman" w:cs="Times New Roman" w:eastAsia="Times New Roman" w:hAnsi="Times New Roman"/>
          <w:sz w:val="17"/>
          <w:szCs w:val="17"/>
          <w:color w:val="auto"/>
        </w:rPr>
        <w:t>cannot assure you that the forward-looking statements in this document will prove to be accurate. Furthermore, if our forward-looking statements prove to be inaccurate, the inaccuracy may be material. In light of the significant uncertainties in these forward-looking statements, you should not regard these statements as a representation or</w:t>
      </w:r>
    </w:p>
    <w:p>
      <w:pPr>
        <w:spacing w:after="0" w:line="2" w:lineRule="exact"/>
        <w:rPr>
          <w:sz w:val="20"/>
          <w:szCs w:val="20"/>
          <w:color w:val="auto"/>
        </w:rPr>
      </w:pPr>
    </w:p>
    <w:p>
      <w:pPr>
        <w:ind w:left="300" w:right="379"/>
        <w:spacing w:after="0" w:line="208" w:lineRule="auto"/>
        <w:rPr>
          <w:sz w:val="20"/>
          <w:szCs w:val="20"/>
          <w:color w:val="auto"/>
        </w:rPr>
      </w:pPr>
      <w:r>
        <w:rPr>
          <w:rFonts w:ascii="Times New Roman" w:cs="Times New Roman" w:eastAsia="Times New Roman" w:hAnsi="Times New Roman"/>
          <w:sz w:val="18"/>
          <w:szCs w:val="18"/>
          <w:color w:val="auto"/>
        </w:rPr>
        <w:t>warranty by us or any other person that we will achieve our objectives and plans in any specified time frame or at all. These forward-looking statements represent our plans, objectives, estimates, expectations and intentions only as of the date of this filing. We undertake no obligation to publicly update any forward-looking statements, whether as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result of new information, future events or otherwise, except as required by law.</w:t>
      </w:r>
    </w:p>
    <w:p>
      <w:pPr>
        <w:spacing w:after="0" w:line="57" w:lineRule="exact"/>
        <w:rPr>
          <w:sz w:val="20"/>
          <w:szCs w:val="20"/>
          <w:color w:val="auto"/>
        </w:rPr>
      </w:pPr>
    </w:p>
    <w:p>
      <w:pPr>
        <w:ind w:left="300" w:right="439" w:firstLine="441"/>
        <w:spacing w:after="0" w:line="222" w:lineRule="auto"/>
        <w:rPr>
          <w:sz w:val="20"/>
          <w:szCs w:val="20"/>
          <w:color w:val="auto"/>
        </w:rPr>
      </w:pPr>
      <w:r>
        <w:rPr>
          <w:rFonts w:ascii="Times New Roman" w:cs="Times New Roman" w:eastAsia="Times New Roman" w:hAnsi="Times New Roman"/>
          <w:sz w:val="18"/>
          <w:szCs w:val="18"/>
          <w:color w:val="auto"/>
        </w:rPr>
        <w:t>You should read this document and the documents that we reference herein completely and with the understanding that our actual future results may be materially different from what we expect. We qualify all of our</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forward-looking statements by these cautionary statements.</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Rounding of Figures</w:t>
      </w:r>
    </w:p>
    <w:p>
      <w:pPr>
        <w:spacing w:after="0" w:line="119" w:lineRule="exact"/>
        <w:rPr>
          <w:sz w:val="20"/>
          <w:szCs w:val="20"/>
          <w:color w:val="auto"/>
        </w:rPr>
      </w:pPr>
    </w:p>
    <w:p>
      <w:pPr>
        <w:ind w:left="300" w:right="439" w:firstLine="441"/>
        <w:spacing w:after="0" w:line="222" w:lineRule="auto"/>
        <w:rPr>
          <w:sz w:val="20"/>
          <w:szCs w:val="20"/>
          <w:color w:val="auto"/>
        </w:rPr>
      </w:pPr>
      <w:r>
        <w:rPr>
          <w:rFonts w:ascii="Times New Roman" w:cs="Times New Roman" w:eastAsia="Times New Roman" w:hAnsi="Times New Roman"/>
          <w:sz w:val="18"/>
          <w:szCs w:val="18"/>
          <w:color w:val="auto"/>
        </w:rPr>
        <w:t>Certain figures (including data expressed in thousands or millions of euros or dollars) and the percentages presented in this quarterly report have been rounded up or down. Accordingly, totals given may vary slightly from</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those obtained by adding the rounded values of those same figures.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1440" w:right="1440" w:bottom="1440" w:gutter="0" w:footer="0" w:header="0"/>
          <w:type w:val="continuous"/>
        </w:sectPr>
      </w:pPr>
    </w:p>
    <w:bookmarkStart w:id="6" w:name="page7"/>
    <w:bookmarkEnd w:id="6"/>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08" w:lineRule="exact"/>
        <w:rPr>
          <w:sz w:val="20"/>
          <w:szCs w:val="20"/>
          <w:color w:val="auto"/>
        </w:rPr>
      </w:pPr>
    </w:p>
    <w:p>
      <w:pPr>
        <w:ind w:left="300" w:right="419" w:firstLine="441"/>
        <w:spacing w:after="0" w:line="236" w:lineRule="auto"/>
        <w:rPr>
          <w:sz w:val="20"/>
          <w:szCs w:val="20"/>
          <w:color w:val="auto"/>
        </w:rPr>
      </w:pPr>
      <w:r>
        <w:rPr>
          <w:rFonts w:ascii="Times New Roman" w:cs="Times New Roman" w:eastAsia="Times New Roman" w:hAnsi="Times New Roman"/>
          <w:sz w:val="17"/>
          <w:szCs w:val="17"/>
          <w:color w:val="auto"/>
        </w:rPr>
        <w:t>The Company’s business faces significant risks. You should carefully consider all of the information set forth in this document and in the Company’s other filings with the SEC, including the risk factors which the Company</w:t>
      </w: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faces and which are faced by the Company’s industry described in “Item 3.D—Risk Factors” of the Company’s Annual Report on Form 20-F for the fiscal year ended December 31, 2025. Our risk factors have not changed materially from those described in our Annual Report on Form 20-F. Our business, financial condition or results of</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operations could be materially adversely affected by any of these risks.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440" w:right="1440" w:bottom="1440" w:gutter="0" w:footer="0" w:header="0"/>
          <w:type w:val="continuous"/>
        </w:sectPr>
      </w:pPr>
    </w:p>
    <w:bookmarkStart w:id="7" w:name="page8"/>
    <w:bookmarkEnd w:id="7"/>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are a clinical-stage biotechnology company focused on developing therapeutics that harness the body’s</w:t>
      </w:r>
    </w:p>
    <w:p>
      <w:pPr>
        <w:spacing w:after="0" w:line="2" w:lineRule="exact"/>
        <w:rPr>
          <w:sz w:val="20"/>
          <w:szCs w:val="20"/>
          <w:color w:val="auto"/>
        </w:rPr>
      </w:pP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natural regulatory mechanisms to stabilize the immune response in patients with chronic inflammatory diseases. Our lead drug candidate, obefazimod, is currently being evaluated in the following indications:</w:t>
      </w:r>
    </w:p>
    <w:p>
      <w:pPr>
        <w:spacing w:after="0" w:line="49" w:lineRule="exact"/>
        <w:rPr>
          <w:sz w:val="20"/>
          <w:szCs w:val="20"/>
          <w:color w:val="auto"/>
        </w:rPr>
      </w:pPr>
    </w:p>
    <w:p>
      <w:pPr>
        <w:ind w:left="700" w:right="499" w:hanging="3"/>
        <w:spacing w:after="0" w:line="223" w:lineRule="auto"/>
        <w:tabs>
          <w:tab w:leader="none" w:pos="9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Ulcerative colitis ("UC")</w:t>
      </w:r>
      <w:r>
        <w:rPr>
          <w:rFonts w:ascii="Times New Roman" w:cs="Times New Roman" w:eastAsia="Times New Roman" w:hAnsi="Times New Roman"/>
          <w:sz w:val="18"/>
          <w:szCs w:val="18"/>
          <w:color w:val="auto"/>
        </w:rPr>
        <w:t xml:space="preserve"> : Phase 3 clinical trials for the treatment of adults with moderately to severely active UC are ongoing ("ABTECT"). On July 22, 2025, we announced the positive Phase 3 results of our ABTECT 8-week induction trials. Top-line results from the 44-week maintenance data read-out are expected in late second quarter of 2026. Subject to positive data, we currently expect to submit our New Drug Application ("NDA") with the U.S. Food and Drug Administration in the fourth quarter of 2026.</w:t>
      </w:r>
    </w:p>
    <w:p>
      <w:pPr>
        <w:spacing w:after="0" w:line="50" w:lineRule="exact"/>
        <w:rPr>
          <w:rFonts w:ascii="Times New Roman" w:cs="Times New Roman" w:eastAsia="Times New Roman" w:hAnsi="Times New Roman"/>
          <w:sz w:val="18"/>
          <w:szCs w:val="18"/>
          <w:color w:val="auto"/>
        </w:rPr>
      </w:pPr>
    </w:p>
    <w:p>
      <w:pPr>
        <w:ind w:left="700" w:right="459" w:hanging="3"/>
        <w:spacing w:after="0" w:line="237" w:lineRule="auto"/>
        <w:tabs>
          <w:tab w:leader="none" w:pos="9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Crohn’s disease ("CD")</w:t>
      </w:r>
      <w:r>
        <w:rPr>
          <w:rFonts w:ascii="Times New Roman" w:cs="Times New Roman" w:eastAsia="Times New Roman" w:hAnsi="Times New Roman"/>
          <w:sz w:val="18"/>
          <w:szCs w:val="18"/>
          <w:color w:val="auto"/>
        </w:rPr>
        <w:t xml:space="preserve"> : Our ENHANCE-CD Phase 2b clinical trial of obefazimod in patients with CD is still ongoing, and the 12-week induction topline data read-out is expected in the fourth quarter of 2026.</w:t>
      </w:r>
    </w:p>
    <w:p>
      <w:pPr>
        <w:spacing w:after="0" w:line="63" w:lineRule="exact"/>
        <w:rPr>
          <w:rFonts w:ascii="Times New Roman" w:cs="Times New Roman" w:eastAsia="Times New Roman" w:hAnsi="Times New Roman"/>
          <w:sz w:val="18"/>
          <w:szCs w:val="18"/>
          <w:color w:val="auto"/>
        </w:rPr>
      </w:pPr>
    </w:p>
    <w:p>
      <w:pPr>
        <w:ind w:left="700" w:right="319" w:hanging="3"/>
        <w:spacing w:after="0" w:line="217" w:lineRule="auto"/>
        <w:tabs>
          <w:tab w:leader="none" w:pos="9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Combination therapy</w:t>
      </w:r>
      <w:r>
        <w:rPr>
          <w:rFonts w:ascii="Times New Roman" w:cs="Times New Roman" w:eastAsia="Times New Roman" w:hAnsi="Times New Roman"/>
          <w:sz w:val="18"/>
          <w:szCs w:val="18"/>
          <w:color w:val="auto"/>
        </w:rPr>
        <w:t>: In September 2024, we announced initial preclinical combination data of obefazimod combined with etrasimod in a mouse model of inflammatory bowel diseases ("IBD"). The results showed that treatment with the combination improved the response on body weight protection and Disease Activity Index and a synergistic and statistically significant reduction of several cytokines (TNFa, IL-17, IL-6, IFNg) in the blood compared to each drug alone. Additional preclinical data to support our decision-making on a combination agent is expected by the end of 2026.</w:t>
      </w:r>
    </w:p>
    <w:p>
      <w:pPr>
        <w:spacing w:after="0" w:line="65" w:lineRule="exact"/>
        <w:rPr>
          <w:rFonts w:ascii="Times New Roman" w:cs="Times New Roman" w:eastAsia="Times New Roman" w:hAnsi="Times New Roman"/>
          <w:sz w:val="18"/>
          <w:szCs w:val="18"/>
          <w:color w:val="auto"/>
        </w:rPr>
      </w:pPr>
    </w:p>
    <w:p>
      <w:pPr>
        <w:ind w:left="700" w:right="579" w:hanging="3"/>
        <w:spacing w:after="0" w:line="237" w:lineRule="auto"/>
        <w:tabs>
          <w:tab w:leader="none" w:pos="9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Anti-fibrotic effects</w:t>
      </w:r>
      <w:r>
        <w:rPr>
          <w:rFonts w:ascii="Times New Roman" w:cs="Times New Roman" w:eastAsia="Times New Roman" w:hAnsi="Times New Roman"/>
          <w:sz w:val="18"/>
          <w:szCs w:val="18"/>
          <w:color w:val="auto"/>
        </w:rPr>
        <w:t xml:space="preserve"> : In February 2026, we announced the results of two pre-clinical sets of experiments that were performed to assess the anti-fibrotic effects of obefazimod.</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addition, we have launched a research and development program to generate new potential drug candidates</w:t>
      </w:r>
    </w:p>
    <w:p>
      <w:pPr>
        <w:spacing w:after="0" w:line="2" w:lineRule="exact"/>
        <w:rPr>
          <w:sz w:val="20"/>
          <w:szCs w:val="20"/>
          <w:color w:val="auto"/>
        </w:rPr>
      </w:pPr>
    </w:p>
    <w:p>
      <w:pPr>
        <w:ind w:left="300" w:right="339"/>
        <w:spacing w:after="0" w:line="218" w:lineRule="auto"/>
        <w:rPr>
          <w:sz w:val="20"/>
          <w:szCs w:val="20"/>
          <w:color w:val="auto"/>
        </w:rPr>
      </w:pPr>
      <w:r>
        <w:rPr>
          <w:rFonts w:ascii="Times New Roman" w:cs="Times New Roman" w:eastAsia="Times New Roman" w:hAnsi="Times New Roman"/>
          <w:sz w:val="18"/>
          <w:szCs w:val="18"/>
          <w:color w:val="auto"/>
        </w:rPr>
        <w:t>to strengthen our intellectual property portfolio on the miR-124 platform and to identify additional drug candidates from our proprietary small molecule library that includes additional miR-124 enhancers. We expect to announce the selection of a follow-on compound in 2026.</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Royalty Certificate Repurchase</w:t>
      </w:r>
    </w:p>
    <w:p>
      <w:pPr>
        <w:spacing w:after="0" w:line="1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On May 4, 2026, we entered into a purchase agreement with the holders of our royalty certificates pursuant to</w:t>
      </w: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which we repurchased all of our royalty certificates for an aggregate price of $90 million (ap proximately €76.5 million), of which $45 million was paid in cash on May 7, 2026.</w:t>
      </w:r>
    </w:p>
    <w:p>
      <w:pPr>
        <w:spacing w:after="0" w:line="63"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We were granted an interest-free vendor’s loan ("crédit vendeur") in a total amount equal to the remaining $45 million, which was reinvested in our securities by way of set-off against the subscription price of 403,347 ADSs issued to the holders, at an offering price of $111.57 per ADS (corresponding to €95.34 per ordinary share). The set-</w:t>
      </w:r>
    </w:p>
    <w:p>
      <w:pPr>
        <w:ind w:left="300" w:right="419"/>
        <w:spacing w:after="0" w:line="218" w:lineRule="auto"/>
        <w:rPr>
          <w:sz w:val="20"/>
          <w:szCs w:val="20"/>
          <w:color w:val="auto"/>
        </w:rPr>
      </w:pPr>
      <w:r>
        <w:rPr>
          <w:rFonts w:ascii="Times New Roman" w:cs="Times New Roman" w:eastAsia="Times New Roman" w:hAnsi="Times New Roman"/>
          <w:sz w:val="18"/>
          <w:szCs w:val="18"/>
          <w:color w:val="auto"/>
        </w:rPr>
        <w:t>off and the corresponding issuance and delivery of the ADSs to the holders occurred on May 7, 2026. The vendor’s loan was fully extinguished at that date. All of the royalty certificates were immediately cancelled following the transaction.</w:t>
      </w:r>
    </w:p>
    <w:p>
      <w:pPr>
        <w:spacing w:after="0" w:line="64" w:lineRule="exact"/>
        <w:rPr>
          <w:sz w:val="20"/>
          <w:szCs w:val="20"/>
          <w:color w:val="auto"/>
        </w:rPr>
      </w:pPr>
    </w:p>
    <w:p>
      <w:pPr>
        <w:ind w:left="300" w:right="479" w:firstLine="441"/>
        <w:spacing w:after="0" w:line="216" w:lineRule="auto"/>
        <w:rPr>
          <w:sz w:val="20"/>
          <w:szCs w:val="20"/>
          <w:color w:val="auto"/>
        </w:rPr>
      </w:pPr>
      <w:r>
        <w:rPr>
          <w:rFonts w:ascii="Times New Roman" w:cs="Times New Roman" w:eastAsia="Times New Roman" w:hAnsi="Times New Roman"/>
          <w:sz w:val="18"/>
          <w:szCs w:val="18"/>
          <w:color w:val="auto"/>
        </w:rPr>
        <w:t>Based on the information available as of the date of issuance of this quarterly report, the estimated impact in profit or loss of the repurchase of our royalty certificates on May 7, 2026 is expected to result in an expense of approximately €43.0 million, to be recognized in the second quarter of 2026. The amount corresponds to the</w:t>
      </w:r>
    </w:p>
    <w:p>
      <w:pPr>
        <w:spacing w:after="0" w:line="1" w:lineRule="exact"/>
        <w:rPr>
          <w:sz w:val="20"/>
          <w:szCs w:val="20"/>
          <w:color w:val="auto"/>
        </w:rPr>
      </w:pP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difference between the certificates' carrying amount on the repurchase date of €33.5 million and the total consideration transferred, comprising cash and equity consideration of €38.2 million each, based on the exchange rate prevailing on that date. Consequently, the €6.1 million deferred tax liability recognized in our statements of</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financial position as of March 31, 2026 will be derecognized, and a corresponding tax income will be recognized.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1440" w:right="1440" w:bottom="1440" w:gutter="0" w:footer="0" w:header="0"/>
          <w:type w:val="continuous"/>
        </w:sectPr>
      </w:pPr>
    </w:p>
    <w:bookmarkStart w:id="8" w:name="page9"/>
    <w:bookmarkEnd w:id="8"/>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Three-Year Interim Data from Our Phase 2a/2b Open-Label Extension Trial (Study 108) of Obefazimod</w:t>
      </w:r>
    </w:p>
    <w:p>
      <w:pPr>
        <w:spacing w:after="0" w:line="216" w:lineRule="exact"/>
        <w:rPr>
          <w:sz w:val="20"/>
          <w:szCs w:val="20"/>
          <w:color w:val="auto"/>
        </w:rPr>
      </w:pPr>
    </w:p>
    <w:p>
      <w:pPr>
        <w:ind w:left="300" w:right="379" w:firstLine="441"/>
        <w:spacing w:after="0" w:line="245" w:lineRule="auto"/>
        <w:rPr>
          <w:sz w:val="20"/>
          <w:szCs w:val="20"/>
          <w:color w:val="auto"/>
        </w:rPr>
      </w:pPr>
      <w:r>
        <w:rPr>
          <w:rFonts w:ascii="Times New Roman" w:cs="Times New Roman" w:eastAsia="Times New Roman" w:hAnsi="Times New Roman"/>
          <w:sz w:val="18"/>
          <w:szCs w:val="18"/>
          <w:color w:val="auto"/>
        </w:rPr>
        <w:t>On May 22, 2026, we reported three-year interim data from Study 108, a Phase 2a/2b open-label maintenance ("OLM") trial of obefazimod following dose de-escalation in patients with ulcerative colitis. In this study, patients who had completed the four-year Phase 2a or two-year Phase 2b OLM trials, where they had received 50 mg of once-daily obefazimod, were given the opportunity to continue receiving obefazimod at a reduced dose of 25 mg daily for up to five additional years (provided they met the eligibility criteria of Mayo Endoscopic Subscore = 0 or 1). A total of 130 patients entered the trial, and as of the January 5, 2026 cutoff date, 80% (104/130) were still enrolled and completed the full 144-week evaluation.</w:t>
      </w:r>
    </w:p>
    <w:p>
      <w:pPr>
        <w:spacing w:after="0" w:line="168" w:lineRule="exact"/>
        <w:rPr>
          <w:sz w:val="20"/>
          <w:szCs w:val="20"/>
          <w:color w:val="auto"/>
        </w:rPr>
      </w:pPr>
    </w:p>
    <w:p>
      <w:pPr>
        <w:ind w:left="300" w:right="319" w:firstLine="441"/>
        <w:spacing w:after="0" w:line="239" w:lineRule="auto"/>
        <w:rPr>
          <w:sz w:val="20"/>
          <w:szCs w:val="20"/>
          <w:color w:val="auto"/>
        </w:rPr>
      </w:pPr>
      <w:r>
        <w:rPr>
          <w:rFonts w:ascii="Times New Roman" w:cs="Times New Roman" w:eastAsia="Times New Roman" w:hAnsi="Times New Roman"/>
          <w:sz w:val="18"/>
          <w:szCs w:val="18"/>
          <w:color w:val="auto"/>
        </w:rPr>
        <w:t>At study baseline, 89% (116/130) of patients were in clinical remission. At weeks 48, 96 and 144 of treatment, 73% (95/130), 69% (90/130), and 68% (88/130) of patients evaluated were in clinical remission, respectively. Clinical remission, inclusive of endoscopic subscore, was evaluated in the intent-to-treat population using non-responder imputation. Similar trends were observed with other efficacy analyses, and no new safety signals were observed.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019"/>
          </w:cols>
          <w:pgMar w:left="1440" w:top="1440" w:right="1440" w:bottom="1440" w:gutter="0" w:footer="0" w:header="0"/>
          <w:type w:val="continuous"/>
        </w:sectPr>
      </w:pPr>
    </w:p>
    <w:bookmarkStart w:id="9" w:name="page10"/>
    <w:bookmarkEnd w:id="9"/>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b w:val="1"/>
          <w:bCs w:val="1"/>
          <w:color w:val="auto"/>
        </w:rPr>
        <w:t>zResults of Operations</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highlight w:val="white"/>
        </w:rPr>
        <w:t>The following table sets forth our results of operations for the three months ended March 31, 2025 and 2026.</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Three Months</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Three Months</w:t>
            </w:r>
          </w:p>
        </w:tc>
        <w:tc>
          <w:tcPr>
            <w:tcW w:w="1100" w:type="dxa"/>
            <w:vAlign w:val="bottom"/>
            <w:gridSpan w:val="6"/>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highlight w:val="white"/>
              </w:rPr>
              <w:t>2026 vs 2025</w:t>
            </w:r>
          </w:p>
        </w:tc>
        <w:tc>
          <w:tcPr>
            <w:tcW w:w="0" w:type="dxa"/>
            <w:vAlign w:val="bottom"/>
          </w:tcPr>
          <w:p>
            <w:pPr>
              <w:spacing w:after="0"/>
              <w:rPr>
                <w:sz w:val="1"/>
                <w:szCs w:val="1"/>
                <w:color w:val="auto"/>
              </w:rPr>
            </w:pPr>
          </w:p>
        </w:tc>
      </w:tr>
      <w:tr>
        <w:trPr>
          <w:trHeight w:val="95"/>
        </w:trPr>
        <w:tc>
          <w:tcPr>
            <w:tcW w:w="4860" w:type="dxa"/>
            <w:vAlign w:val="bottom"/>
            <w:vMerge w:val="restart"/>
          </w:tcPr>
          <w:p>
            <w:pPr>
              <w:jc w:val="right"/>
              <w:ind w:right="3351"/>
              <w:spacing w:after="0"/>
              <w:rPr>
                <w:sz w:val="20"/>
                <w:szCs w:val="20"/>
                <w:color w:val="auto"/>
              </w:rPr>
            </w:pPr>
            <w:r>
              <w:rPr>
                <w:rFonts w:ascii="Times New Roman" w:cs="Times New Roman" w:eastAsia="Times New Roman" w:hAnsi="Times New Roman"/>
                <w:sz w:val="14"/>
                <w:szCs w:val="14"/>
                <w:b w:val="1"/>
                <w:bCs w:val="1"/>
                <w:color w:val="auto"/>
                <w:highlight w:val="white"/>
              </w:rPr>
              <w:t>(In thousands of euros)</w:t>
            </w:r>
          </w:p>
        </w:tc>
        <w:tc>
          <w:tcPr>
            <w:tcW w:w="12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Ended March 31,</w:t>
            </w:r>
          </w:p>
        </w:tc>
        <w:tc>
          <w:tcPr>
            <w:tcW w:w="12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Ended March 31,</w:t>
            </w:r>
          </w:p>
        </w:tc>
        <w:tc>
          <w:tcPr>
            <w:tcW w:w="11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860" w:type="dxa"/>
            <w:vAlign w:val="bottom"/>
            <w:vMerge w:val="continue"/>
          </w:tcPr>
          <w:p>
            <w:pPr>
              <w:spacing w:after="0"/>
              <w:rPr>
                <w:sz w:val="7"/>
                <w:szCs w:val="7"/>
                <w:color w:val="auto"/>
              </w:rPr>
            </w:pPr>
          </w:p>
        </w:tc>
        <w:tc>
          <w:tcPr>
            <w:tcW w:w="1220" w:type="dxa"/>
            <w:vAlign w:val="bottom"/>
            <w:gridSpan w:val="5"/>
            <w:vMerge w:val="continue"/>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90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highlight w:val="white"/>
              </w:rPr>
              <w:t>Change</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860" w:type="dxa"/>
            <w:vAlign w:val="bottom"/>
          </w:tcPr>
          <w:p>
            <w:pPr>
              <w:spacing w:after="0"/>
              <w:rPr>
                <w:sz w:val="9"/>
                <w:szCs w:val="9"/>
                <w:color w:val="auto"/>
              </w:rPr>
            </w:pPr>
          </w:p>
        </w:tc>
        <w:tc>
          <w:tcPr>
            <w:tcW w:w="900" w:type="dxa"/>
            <w:vAlign w:val="bottom"/>
            <w:gridSpan w:val="3"/>
            <w:vMerge w:val="restart"/>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highlight w:val="white"/>
              </w:rPr>
              <w:t>2025</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highlight w:val="white"/>
                <w:w w:val="99"/>
              </w:rPr>
              <w:t>2026</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8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 xml:space="preserve">Other operating income </w:t>
            </w:r>
            <w:r>
              <w:rPr>
                <w:rFonts w:ascii="Times New Roman" w:cs="Times New Roman" w:eastAsia="Times New Roman" w:hAnsi="Times New Roman"/>
                <w:sz w:val="18"/>
                <w:szCs w:val="18"/>
                <w:color w:val="B4B4B4"/>
              </w:rPr>
              <w:t>.........................................................</w:t>
            </w: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994</w:t>
            </w:r>
          </w:p>
        </w:tc>
        <w:tc>
          <w:tcPr>
            <w:tcW w:w="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1,344</w:t>
            </w: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highlight w:val="white"/>
              </w:rPr>
              <w:t>35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w:t>
            </w:r>
          </w:p>
        </w:tc>
        <w:tc>
          <w:tcPr>
            <w:tcW w:w="0" w:type="dxa"/>
            <w:vAlign w:val="bottom"/>
          </w:tcPr>
          <w:p>
            <w:pPr>
              <w:spacing w:after="0"/>
              <w:rPr>
                <w:sz w:val="1"/>
                <w:szCs w:val="1"/>
                <w:color w:val="auto"/>
              </w:rPr>
            </w:pPr>
          </w:p>
        </w:tc>
      </w:tr>
      <w:tr>
        <w:trPr>
          <w:trHeight w:val="304"/>
        </w:trPr>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9"/>
              </w:rPr>
              <w:t xml:space="preserve">Total operating income </w:t>
            </w:r>
            <w:r>
              <w:rPr>
                <w:rFonts w:ascii="Times New Roman" w:cs="Times New Roman" w:eastAsia="Times New Roman" w:hAnsi="Times New Roman"/>
                <w:sz w:val="18"/>
                <w:szCs w:val="18"/>
                <w:b w:val="1"/>
                <w:bCs w:val="1"/>
                <w:color w:val="B4B4B4"/>
                <w:w w:val="99"/>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994</w:t>
            </w:r>
          </w:p>
        </w:tc>
        <w:tc>
          <w:tcPr>
            <w:tcW w:w="6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1,344</w:t>
            </w:r>
          </w:p>
        </w:tc>
        <w:tc>
          <w:tcPr>
            <w:tcW w:w="60" w:type="dxa"/>
            <w:vAlign w:val="bottom"/>
          </w:tcPr>
          <w:p>
            <w:pPr>
              <w:spacing w:after="0"/>
              <w:rPr>
                <w:sz w:val="24"/>
                <w:szCs w:val="24"/>
                <w:color w:val="auto"/>
              </w:rPr>
            </w:pP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35 %</w:t>
            </w:r>
          </w:p>
        </w:tc>
        <w:tc>
          <w:tcPr>
            <w:tcW w:w="0" w:type="dxa"/>
            <w:vAlign w:val="bottom"/>
          </w:tcPr>
          <w:p>
            <w:pPr>
              <w:spacing w:after="0"/>
              <w:rPr>
                <w:sz w:val="1"/>
                <w:szCs w:val="1"/>
                <w:color w:val="auto"/>
              </w:rPr>
            </w:pPr>
          </w:p>
        </w:tc>
      </w:tr>
      <w:tr>
        <w:trPr>
          <w:trHeight w:val="20"/>
        </w:trPr>
        <w:tc>
          <w:tcPr>
            <w:tcW w:w="4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Sales and marketing expenses</w:t>
            </w:r>
            <w:r>
              <w:rPr>
                <w:rFonts w:ascii="Times New Roman" w:cs="Times New Roman" w:eastAsia="Times New Roman" w:hAnsi="Times New Roman"/>
                <w:sz w:val="18"/>
                <w:szCs w:val="18"/>
                <w:color w:val="B4B4B4"/>
              </w:rPr>
              <w:t>.................................................</w:t>
            </w: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860" w:type="dxa"/>
            <w:vAlign w:val="bottom"/>
            <w:vMerge w:val="continue"/>
          </w:tcPr>
          <w:p>
            <w:pPr>
              <w:spacing w:after="0"/>
              <w:rPr>
                <w:sz w:val="24"/>
                <w:szCs w:val="24"/>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(860)</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(1,748)</w:t>
            </w:r>
          </w:p>
        </w:tc>
        <w:tc>
          <w:tcPr>
            <w:tcW w:w="9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highlight w:val="white"/>
              </w:rPr>
              <w:t>103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w:t>
            </w:r>
          </w:p>
        </w:tc>
        <w:tc>
          <w:tcPr>
            <w:tcW w:w="0" w:type="dxa"/>
            <w:vAlign w:val="bottom"/>
          </w:tcPr>
          <w:p>
            <w:pPr>
              <w:spacing w:after="0"/>
              <w:rPr>
                <w:sz w:val="1"/>
                <w:szCs w:val="1"/>
                <w:color w:val="auto"/>
              </w:rPr>
            </w:pPr>
          </w:p>
        </w:tc>
      </w:tr>
      <w:tr>
        <w:trPr>
          <w:trHeight w:val="256"/>
        </w:trPr>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Research and development expenses</w:t>
            </w:r>
            <w:r>
              <w:rPr>
                <w:rFonts w:ascii="Times New Roman" w:cs="Times New Roman" w:eastAsia="Times New Roman" w:hAnsi="Times New Roman"/>
                <w:sz w:val="18"/>
                <w:szCs w:val="18"/>
                <w:color w:val="B4B4B4"/>
              </w:rPr>
              <w:t>......................................</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(39,301)</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(49,542)</w:t>
            </w:r>
          </w:p>
        </w:tc>
        <w:tc>
          <w:tcPr>
            <w:tcW w:w="9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highlight w:val="white"/>
              </w:rPr>
              <w:t>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w:t>
            </w:r>
          </w:p>
        </w:tc>
        <w:tc>
          <w:tcPr>
            <w:tcW w:w="0" w:type="dxa"/>
            <w:vAlign w:val="bottom"/>
          </w:tcPr>
          <w:p>
            <w:pPr>
              <w:spacing w:after="0"/>
              <w:rPr>
                <w:sz w:val="1"/>
                <w:szCs w:val="1"/>
                <w:color w:val="auto"/>
              </w:rPr>
            </w:pPr>
          </w:p>
        </w:tc>
      </w:tr>
      <w:tr>
        <w:trPr>
          <w:trHeight w:val="257"/>
        </w:trPr>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 xml:space="preserve">General and administrative expenses </w:t>
            </w:r>
            <w:r>
              <w:rPr>
                <w:rFonts w:ascii="Times New Roman" w:cs="Times New Roman" w:eastAsia="Times New Roman" w:hAnsi="Times New Roman"/>
                <w:sz w:val="18"/>
                <w:szCs w:val="18"/>
                <w:color w:val="B4B4B4"/>
              </w:rPr>
              <w:t>....................................</w:t>
            </w: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(8,033)</w:t>
            </w: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(6,283)</w:t>
            </w:r>
          </w:p>
        </w:tc>
        <w:tc>
          <w:tcPr>
            <w:tcW w:w="1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(22) %</w:t>
            </w:r>
          </w:p>
        </w:tc>
        <w:tc>
          <w:tcPr>
            <w:tcW w:w="0" w:type="dxa"/>
            <w:vAlign w:val="bottom"/>
          </w:tcPr>
          <w:p>
            <w:pPr>
              <w:spacing w:after="0"/>
              <w:rPr>
                <w:sz w:val="1"/>
                <w:szCs w:val="1"/>
                <w:color w:val="auto"/>
              </w:rPr>
            </w:pPr>
          </w:p>
        </w:tc>
      </w:tr>
      <w:tr>
        <w:trPr>
          <w:trHeight w:val="304"/>
        </w:trPr>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 xml:space="preserve">Total operating expenses </w:t>
            </w:r>
            <w:r>
              <w:rPr>
                <w:rFonts w:ascii="Times New Roman" w:cs="Times New Roman" w:eastAsia="Times New Roman" w:hAnsi="Times New Roman"/>
                <w:sz w:val="18"/>
                <w:szCs w:val="18"/>
                <w:b w:val="1"/>
                <w:bCs w:val="1"/>
                <w:color w:val="B4B4B4"/>
              </w:rPr>
              <w:t>...............................................................</w:t>
            </w:r>
          </w:p>
        </w:tc>
        <w:tc>
          <w:tcPr>
            <w:tcW w:w="60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7"/>
              </w:rPr>
              <w:t>(48,194)</w:t>
            </w:r>
          </w:p>
        </w:tc>
        <w:tc>
          <w:tcPr>
            <w:tcW w:w="62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7"/>
              </w:rPr>
              <w:t>(57,574)</w:t>
            </w:r>
          </w:p>
        </w:tc>
        <w:tc>
          <w:tcPr>
            <w:tcW w:w="660" w:type="dxa"/>
            <w:vAlign w:val="bottom"/>
            <w:gridSpan w:val="2"/>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8"/>
              </w:rPr>
              <w:t>19 %</w:t>
            </w:r>
          </w:p>
        </w:tc>
        <w:tc>
          <w:tcPr>
            <w:tcW w:w="0" w:type="dxa"/>
            <w:vAlign w:val="bottom"/>
          </w:tcPr>
          <w:p>
            <w:pPr>
              <w:spacing w:after="0"/>
              <w:rPr>
                <w:sz w:val="1"/>
                <w:szCs w:val="1"/>
                <w:color w:val="auto"/>
              </w:rPr>
            </w:pPr>
          </w:p>
        </w:tc>
      </w:tr>
      <w:tr>
        <w:trPr>
          <w:trHeight w:val="20"/>
        </w:trPr>
        <w:tc>
          <w:tcPr>
            <w:tcW w:w="4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9"/>
              </w:rPr>
              <w:t xml:space="preserve">Operating loss </w:t>
            </w:r>
            <w:r>
              <w:rPr>
                <w:rFonts w:ascii="Times New Roman" w:cs="Times New Roman" w:eastAsia="Times New Roman" w:hAnsi="Times New Roman"/>
                <w:sz w:val="18"/>
                <w:szCs w:val="18"/>
                <w:b w:val="1"/>
                <w:bCs w:val="1"/>
                <w:color w:val="B4B4B4"/>
                <w:w w:val="99"/>
              </w:rPr>
              <w: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8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7"/>
              </w:rPr>
              <w:t>(47,200)</w:t>
            </w:r>
          </w:p>
        </w:tc>
        <w:tc>
          <w:tcPr>
            <w:tcW w:w="62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7"/>
              </w:rPr>
              <w:t>(56,229)</w:t>
            </w:r>
          </w:p>
        </w:tc>
        <w:tc>
          <w:tcPr>
            <w:tcW w:w="660" w:type="dxa"/>
            <w:vAlign w:val="bottom"/>
            <w:gridSpan w:val="2"/>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8"/>
              </w:rPr>
              <w:t>19 %</w:t>
            </w:r>
          </w:p>
        </w:tc>
        <w:tc>
          <w:tcPr>
            <w:tcW w:w="0" w:type="dxa"/>
            <w:vAlign w:val="bottom"/>
          </w:tcPr>
          <w:p>
            <w:pPr>
              <w:spacing w:after="0"/>
              <w:rPr>
                <w:sz w:val="1"/>
                <w:szCs w:val="1"/>
                <w:color w:val="auto"/>
              </w:rPr>
            </w:pPr>
          </w:p>
        </w:tc>
      </w:tr>
      <w:tr>
        <w:trPr>
          <w:trHeight w:val="20"/>
        </w:trPr>
        <w:tc>
          <w:tcPr>
            <w:tcW w:w="4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 xml:space="preserve">Financial expenses </w:t>
            </w:r>
            <w:r>
              <w:rPr>
                <w:rFonts w:ascii="Times New Roman" w:cs="Times New Roman" w:eastAsia="Times New Roman" w:hAnsi="Times New Roman"/>
                <w:sz w:val="18"/>
                <w:szCs w:val="18"/>
                <w:color w:val="B4B4B4"/>
              </w:rPr>
              <w: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860" w:type="dxa"/>
            <w:vAlign w:val="bottom"/>
            <w:vMerge w:val="continue"/>
          </w:tcPr>
          <w:p>
            <w:pPr>
              <w:spacing w:after="0"/>
              <w:rPr>
                <w:sz w:val="24"/>
                <w:szCs w:val="24"/>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(6,723)</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(4,769)</w:t>
            </w: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(29) %</w:t>
            </w:r>
          </w:p>
        </w:tc>
        <w:tc>
          <w:tcPr>
            <w:tcW w:w="0" w:type="dxa"/>
            <w:vAlign w:val="bottom"/>
          </w:tcPr>
          <w:p>
            <w:pPr>
              <w:spacing w:after="0"/>
              <w:rPr>
                <w:sz w:val="1"/>
                <w:szCs w:val="1"/>
                <w:color w:val="auto"/>
              </w:rPr>
            </w:pPr>
          </w:p>
        </w:tc>
      </w:tr>
      <w:tr>
        <w:trPr>
          <w:trHeight w:val="256"/>
        </w:trPr>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 xml:space="preserve">Financial income </w:t>
            </w:r>
            <w:r>
              <w:rPr>
                <w:rFonts w:ascii="Times New Roman" w:cs="Times New Roman" w:eastAsia="Times New Roman" w:hAnsi="Times New Roman"/>
                <w:sz w:val="18"/>
                <w:szCs w:val="18"/>
                <w:color w:val="B4B4B4"/>
              </w:rPr>
              <w:t>....................................................................</w:t>
            </w: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1,552</w:t>
            </w:r>
          </w:p>
        </w:tc>
        <w:tc>
          <w:tcPr>
            <w:tcW w:w="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12,759</w:t>
            </w: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highlight w:val="white"/>
              </w:rPr>
              <w:t>722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w:t>
            </w:r>
          </w:p>
        </w:tc>
        <w:tc>
          <w:tcPr>
            <w:tcW w:w="0" w:type="dxa"/>
            <w:vAlign w:val="bottom"/>
          </w:tcPr>
          <w:p>
            <w:pPr>
              <w:spacing w:after="0"/>
              <w:rPr>
                <w:sz w:val="1"/>
                <w:szCs w:val="1"/>
                <w:color w:val="auto"/>
              </w:rPr>
            </w:pPr>
          </w:p>
        </w:tc>
      </w:tr>
      <w:tr>
        <w:trPr>
          <w:trHeight w:val="304"/>
        </w:trPr>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 xml:space="preserve">Financial income (loss) </w:t>
            </w:r>
            <w:r>
              <w:rPr>
                <w:rFonts w:ascii="Times New Roman" w:cs="Times New Roman" w:eastAsia="Times New Roman" w:hAnsi="Times New Roman"/>
                <w:sz w:val="18"/>
                <w:szCs w:val="18"/>
                <w:b w:val="1"/>
                <w:bCs w:val="1"/>
                <w:color w:val="B4B4B4"/>
              </w:rPr>
              <w:t>..................................................................</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(5,170)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7,989</w:t>
            </w:r>
          </w:p>
        </w:tc>
        <w:tc>
          <w:tcPr>
            <w:tcW w:w="60" w:type="dxa"/>
            <w:vAlign w:val="bottom"/>
          </w:tcPr>
          <w:p>
            <w:pPr>
              <w:spacing w:after="0"/>
              <w:rPr>
                <w:sz w:val="24"/>
                <w:szCs w:val="24"/>
                <w:color w:val="auto"/>
              </w:rPr>
            </w:pP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(255)%</w:t>
            </w:r>
          </w:p>
        </w:tc>
        <w:tc>
          <w:tcPr>
            <w:tcW w:w="0" w:type="dxa"/>
            <w:vAlign w:val="bottom"/>
          </w:tcPr>
          <w:p>
            <w:pPr>
              <w:spacing w:after="0"/>
              <w:rPr>
                <w:sz w:val="1"/>
                <w:szCs w:val="1"/>
                <w:color w:val="auto"/>
              </w:rPr>
            </w:pPr>
          </w:p>
        </w:tc>
      </w:tr>
      <w:tr>
        <w:trPr>
          <w:trHeight w:val="21"/>
        </w:trPr>
        <w:tc>
          <w:tcPr>
            <w:tcW w:w="4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 xml:space="preserve">Net loss before tax </w:t>
            </w:r>
            <w:r>
              <w:rPr>
                <w:rFonts w:ascii="Times New Roman" w:cs="Times New Roman" w:eastAsia="Times New Roman" w:hAnsi="Times New Roman"/>
                <w:sz w:val="18"/>
                <w:szCs w:val="18"/>
                <w:b w:val="1"/>
                <w:bCs w:val="1"/>
                <w:color w:val="B4B4B4"/>
              </w:rPr>
              <w:t>..........................................................................</w:t>
            </w: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8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7"/>
              </w:rPr>
              <w:t>(52,370)</w:t>
            </w:r>
          </w:p>
        </w:tc>
        <w:tc>
          <w:tcPr>
            <w:tcW w:w="62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7"/>
              </w:rPr>
              <w:t>(48,240)</w:t>
            </w: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(8)%</w:t>
            </w:r>
          </w:p>
        </w:tc>
        <w:tc>
          <w:tcPr>
            <w:tcW w:w="0" w:type="dxa"/>
            <w:vAlign w:val="bottom"/>
          </w:tcPr>
          <w:p>
            <w:pPr>
              <w:spacing w:after="0"/>
              <w:rPr>
                <w:sz w:val="1"/>
                <w:szCs w:val="1"/>
                <w:color w:val="auto"/>
              </w:rPr>
            </w:pPr>
          </w:p>
        </w:tc>
      </w:tr>
      <w:tr>
        <w:trPr>
          <w:trHeight w:val="21"/>
        </w:trPr>
        <w:tc>
          <w:tcPr>
            <w:tcW w:w="4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 xml:space="preserve">Income Tax </w:t>
            </w:r>
            <w:r>
              <w:rPr>
                <w:rFonts w:ascii="Times New Roman" w:cs="Times New Roman" w:eastAsia="Times New Roman" w:hAnsi="Times New Roman"/>
                <w:sz w:val="18"/>
                <w:szCs w:val="18"/>
                <w:color w:val="B4B4B4"/>
              </w:rPr>
              <w: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4860" w:type="dxa"/>
            <w:vAlign w:val="bottom"/>
            <w:vMerge w:val="continue"/>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highlight w:val="white"/>
              </w:rPr>
              <w:t>—</w:t>
            </w: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(228)</w:t>
            </w: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 %</w:t>
            </w:r>
          </w:p>
        </w:tc>
        <w:tc>
          <w:tcPr>
            <w:tcW w:w="0" w:type="dxa"/>
            <w:vAlign w:val="bottom"/>
          </w:tcPr>
          <w:p>
            <w:pPr>
              <w:spacing w:after="0"/>
              <w:rPr>
                <w:sz w:val="1"/>
                <w:szCs w:val="1"/>
                <w:color w:val="auto"/>
              </w:rPr>
            </w:pPr>
          </w:p>
        </w:tc>
      </w:tr>
      <w:tr>
        <w:trPr>
          <w:trHeight w:val="304"/>
        </w:trPr>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9"/>
              </w:rPr>
              <w:t xml:space="preserve">Net loss for the period </w:t>
            </w:r>
            <w:r>
              <w:rPr>
                <w:rFonts w:ascii="Times New Roman" w:cs="Times New Roman" w:eastAsia="Times New Roman" w:hAnsi="Times New Roman"/>
                <w:sz w:val="18"/>
                <w:szCs w:val="18"/>
                <w:b w:val="1"/>
                <w:bCs w:val="1"/>
                <w:color w:val="B4B4B4"/>
                <w:w w:val="99"/>
              </w:rPr>
              <w:t>....................................................................</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(52,370)</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(48,468)</w:t>
            </w: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Total Operating Income</w:t>
      </w:r>
    </w:p>
    <w:p>
      <w:pPr>
        <w:spacing w:after="0" w:line="94" w:lineRule="exact"/>
        <w:rPr>
          <w:sz w:val="20"/>
          <w:szCs w:val="20"/>
          <w:color w:val="auto"/>
        </w:rPr>
      </w:pPr>
    </w:p>
    <w:p>
      <w:pPr>
        <w:jc w:val="both"/>
        <w:ind w:left="300" w:right="299" w:firstLine="441"/>
        <w:spacing w:after="0" w:line="237" w:lineRule="auto"/>
        <w:rPr>
          <w:sz w:val="20"/>
          <w:szCs w:val="20"/>
          <w:color w:val="auto"/>
        </w:rPr>
      </w:pPr>
      <w:r>
        <w:rPr>
          <w:rFonts w:ascii="Times New Roman" w:cs="Times New Roman" w:eastAsia="Times New Roman" w:hAnsi="Times New Roman"/>
          <w:sz w:val="18"/>
          <w:szCs w:val="18"/>
          <w:color w:val="auto"/>
        </w:rPr>
        <w:t>For the three months ended March 31, 2026, our total operating income was €1.3 million, as compared to €1.0 million for the three months ended March 31, 2025, an increase of €0.4 million or 35% as detailed below.</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236"/>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Operating Income</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other operating income for the</w:t>
            </w:r>
          </w:p>
        </w:tc>
        <w:tc>
          <w:tcPr>
            <w:tcW w:w="32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three months ended March 31, 2025 and</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3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Three Months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Three Months</w:t>
            </w: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highlight w:val="white"/>
              </w:rPr>
              <w:t>2026 vs 2025</w:t>
            </w:r>
          </w:p>
        </w:tc>
        <w:tc>
          <w:tcPr>
            <w:tcW w:w="0" w:type="dxa"/>
            <w:vAlign w:val="bottom"/>
          </w:tcPr>
          <w:p>
            <w:pPr>
              <w:spacing w:after="0"/>
              <w:rPr>
                <w:sz w:val="1"/>
                <w:szCs w:val="1"/>
                <w:color w:val="auto"/>
              </w:rPr>
            </w:pPr>
          </w:p>
        </w:tc>
      </w:tr>
      <w:tr>
        <w:trPr>
          <w:trHeight w:val="81"/>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highlight w:val="white"/>
              </w:rPr>
              <w:t>(In thousands of euros)</w:t>
            </w:r>
          </w:p>
        </w:tc>
        <w:tc>
          <w:tcPr>
            <w:tcW w:w="940" w:type="dxa"/>
            <w:vAlign w:val="bottom"/>
          </w:tcPr>
          <w:p>
            <w:pPr>
              <w:spacing w:after="0"/>
              <w:rPr>
                <w:sz w:val="7"/>
                <w:szCs w:val="7"/>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Ended March 31,</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Ended March 31,</w:t>
            </w:r>
          </w:p>
        </w:tc>
        <w:tc>
          <w:tcPr>
            <w:tcW w:w="1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7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highlight w:val="white"/>
              </w:rPr>
              <w:t>Change</w:t>
            </w:r>
          </w:p>
        </w:tc>
        <w:tc>
          <w:tcPr>
            <w:tcW w:w="0" w:type="dxa"/>
            <w:vAlign w:val="bottom"/>
          </w:tcPr>
          <w:p>
            <w:pPr>
              <w:spacing w:after="0"/>
              <w:rPr>
                <w:sz w:val="1"/>
                <w:szCs w:val="1"/>
                <w:color w:val="auto"/>
              </w:rPr>
            </w:pPr>
          </w:p>
        </w:tc>
      </w:tr>
      <w:tr>
        <w:trPr>
          <w:trHeight w:val="96"/>
        </w:trPr>
        <w:tc>
          <w:tcPr>
            <w:tcW w:w="3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highlight w:val="white"/>
              </w:rPr>
              <w:t>2025</w:t>
            </w:r>
          </w:p>
        </w:tc>
        <w:tc>
          <w:tcPr>
            <w:tcW w:w="340" w:type="dxa"/>
            <w:vAlign w:val="bottom"/>
          </w:tcPr>
          <w:p>
            <w:pPr>
              <w:spacing w:after="0"/>
              <w:rPr>
                <w:sz w:val="8"/>
                <w:szCs w:val="8"/>
                <w:color w:val="auto"/>
              </w:rPr>
            </w:pPr>
          </w:p>
        </w:tc>
        <w:tc>
          <w:tcPr>
            <w:tcW w:w="780" w:type="dxa"/>
            <w:vAlign w:val="bottom"/>
            <w:vMerge w:val="restart"/>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highlight w:val="white"/>
              </w:rPr>
              <w:t>2026</w:t>
            </w:r>
          </w:p>
        </w:tc>
        <w:tc>
          <w:tcPr>
            <w:tcW w:w="4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 xml:space="preserve">CIR (Research Tax Credits) </w:t>
            </w:r>
            <w:r>
              <w:rPr>
                <w:rFonts w:ascii="Times New Roman" w:cs="Times New Roman" w:eastAsia="Times New Roman" w:hAnsi="Times New Roman"/>
                <w:sz w:val="18"/>
                <w:szCs w:val="18"/>
                <w:color w:val="B4B4B4"/>
              </w:rPr>
              <w:t>................................................</w:t>
            </w:r>
          </w:p>
        </w:tc>
        <w:tc>
          <w:tcPr>
            <w:tcW w:w="4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970</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highlight w:val="white"/>
              </w:rPr>
              <w:t>1,139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highlight w:val="white"/>
              </w:rPr>
              <w:t>18 %</w:t>
            </w:r>
          </w:p>
        </w:tc>
        <w:tc>
          <w:tcPr>
            <w:tcW w:w="0" w:type="dxa"/>
            <w:vAlign w:val="bottom"/>
          </w:tcPr>
          <w:p>
            <w:pPr>
              <w:spacing w:after="0"/>
              <w:rPr>
                <w:sz w:val="1"/>
                <w:szCs w:val="1"/>
                <w:color w:val="auto"/>
              </w:rPr>
            </w:pPr>
          </w:p>
        </w:tc>
      </w:tr>
      <w:tr>
        <w:trPr>
          <w:trHeight w:val="243"/>
        </w:trPr>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Depositary service fees</w:t>
            </w:r>
            <w:r>
              <w:rPr>
                <w:rFonts w:ascii="Times New Roman" w:cs="Times New Roman" w:eastAsia="Times New Roman" w:hAnsi="Times New Roman"/>
                <w:sz w:val="18"/>
                <w:szCs w:val="18"/>
                <w:color w:val="B4B4B4"/>
              </w:rPr>
              <w:t>........................................................</w:t>
            </w: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highlight w:val="white"/>
              </w:rPr>
              <w:t>24</w:t>
            </w: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highlight w:val="white"/>
              </w:rPr>
              <w:t>205</w:t>
            </w: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highlight w:val="white"/>
              </w:rPr>
              <w:t>739 %</w:t>
            </w:r>
          </w:p>
        </w:tc>
        <w:tc>
          <w:tcPr>
            <w:tcW w:w="0" w:type="dxa"/>
            <w:vAlign w:val="bottom"/>
          </w:tcPr>
          <w:p>
            <w:pPr>
              <w:spacing w:after="0"/>
              <w:rPr>
                <w:sz w:val="1"/>
                <w:szCs w:val="1"/>
                <w:color w:val="auto"/>
              </w:rPr>
            </w:pPr>
          </w:p>
        </w:tc>
      </w:tr>
      <w:tr>
        <w:trPr>
          <w:trHeight w:val="304"/>
        </w:trPr>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Total other operating income </w:t>
            </w:r>
            <w:r>
              <w:rPr>
                <w:rFonts w:ascii="Times New Roman" w:cs="Times New Roman" w:eastAsia="Times New Roman" w:hAnsi="Times New Roman"/>
                <w:sz w:val="18"/>
                <w:szCs w:val="18"/>
                <w:b w:val="1"/>
                <w:bCs w:val="1"/>
                <w:color w:val="B4B4B4"/>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6"/>
              </w:rPr>
              <w:t>994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highlight w:val="white"/>
              </w:rPr>
              <w:t>1,344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highlight w:val="white"/>
              </w:rPr>
              <w:t>35 %</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7"/>
        </w:trPr>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 the three months ended March 31, 2026</w:t>
            </w:r>
          </w:p>
        </w:tc>
        <w:tc>
          <w:tcPr>
            <w:tcW w:w="468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 our other operating income was  €1.3 million, as compared to</w:t>
            </w:r>
          </w:p>
        </w:tc>
        <w:tc>
          <w:tcPr>
            <w:tcW w:w="0" w:type="dxa"/>
            <w:vAlign w:val="bottom"/>
          </w:tcPr>
          <w:p>
            <w:pPr>
              <w:spacing w:after="0"/>
              <w:rPr>
                <w:sz w:val="1"/>
                <w:szCs w:val="1"/>
                <w:color w:val="auto"/>
              </w:rPr>
            </w:pPr>
          </w:p>
        </w:tc>
      </w:tr>
    </w:tbl>
    <w:p>
      <w:pPr>
        <w:ind w:left="300"/>
        <w:spacing w:after="0"/>
        <w:rPr>
          <w:sz w:val="20"/>
          <w:szCs w:val="20"/>
          <w:color w:val="auto"/>
        </w:rPr>
      </w:pPr>
      <w:r>
        <w:rPr>
          <w:rFonts w:ascii="Times New Roman" w:cs="Times New Roman" w:eastAsia="Times New Roman" w:hAnsi="Times New Roman"/>
          <w:sz w:val="18"/>
          <w:szCs w:val="18"/>
          <w:color w:val="auto"/>
        </w:rPr>
        <w:t>€1.0 million for the three months ended March 31, 2025, an increase of €0.4 million, or 35%, as detailed below.</w:t>
      </w:r>
    </w:p>
    <w:p>
      <w:pPr>
        <w:sectPr>
          <w:pgSz w:w="11900" w:h="16838" w:orient="portrait"/>
          <w:cols w:equalWidth="0" w:num="1">
            <w:col w:w="9019"/>
          </w:cols>
          <w:pgMar w:left="1440" w:top="1440" w:right="1440" w:bottom="1440" w:gutter="0" w:footer="0" w:header="0"/>
        </w:sectPr>
      </w:pPr>
    </w:p>
    <w:bookmarkStart w:id="10" w:name="page11"/>
    <w:bookmarkEnd w:id="10"/>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i w:val="1"/>
          <w:iCs w:val="1"/>
          <w:color w:val="auto"/>
        </w:rPr>
        <w:t>Research Tax Credits ("CIR")</w:t>
      </w:r>
    </w:p>
    <w:p>
      <w:pPr>
        <w:spacing w:after="0" w:line="79" w:lineRule="exact"/>
        <w:rPr>
          <w:sz w:val="20"/>
          <w:szCs w:val="20"/>
          <w:color w:val="auto"/>
        </w:rPr>
      </w:pPr>
    </w:p>
    <w:p>
      <w:pPr>
        <w:ind w:left="740"/>
        <w:spacing w:after="0"/>
        <w:tabs>
          <w:tab w:leader="none" w:pos="1360" w:val="left"/>
          <w:tab w:leader="none" w:pos="4200" w:val="left"/>
        </w:tabs>
        <w:rPr>
          <w:sz w:val="20"/>
          <w:szCs w:val="20"/>
          <w:color w:val="auto"/>
        </w:rPr>
      </w:pPr>
      <w:r>
        <w:rPr>
          <w:rFonts w:ascii="Times New Roman" w:cs="Times New Roman" w:eastAsia="Times New Roman" w:hAnsi="Times New Roman"/>
          <w:sz w:val="18"/>
          <w:szCs w:val="18"/>
          <w:color w:val="auto"/>
        </w:rPr>
        <w:t>For the</w:t>
        <w:tab/>
        <w:t>three months ended March 31, 2026</w:t>
        <w:tab/>
        <w:t>, we recognized research tax credits for our research and</w:t>
      </w:r>
    </w:p>
    <w:p>
      <w:pPr>
        <w:spacing w:after="0" w:line="2" w:lineRule="exact"/>
        <w:rPr>
          <w:sz w:val="20"/>
          <w:szCs w:val="20"/>
          <w:color w:val="auto"/>
        </w:rPr>
      </w:pP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development projects of €1.1 million, as compared to €1.0 million for the three months ended March 31, 2025 , an increase of €0.1 million, or 18%. This was primarily due to a €10.2 million , or 26%, increase in research and development expenses for the three months ended March 31, 2026 as compared to the three months ended March 31,</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2025.</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Depositary Service Fees</w:t>
      </w:r>
    </w:p>
    <w:p>
      <w:pPr>
        <w:spacing w:after="0" w:line="106" w:lineRule="exact"/>
        <w:rPr>
          <w:sz w:val="20"/>
          <w:szCs w:val="20"/>
          <w:color w:val="auto"/>
        </w:rPr>
      </w:pPr>
    </w:p>
    <w:p>
      <w:pPr>
        <w:ind w:left="300" w:right="579" w:firstLine="441"/>
        <w:spacing w:after="0" w:line="222" w:lineRule="auto"/>
        <w:rPr>
          <w:sz w:val="20"/>
          <w:szCs w:val="20"/>
          <w:color w:val="auto"/>
        </w:rPr>
      </w:pPr>
      <w:r>
        <w:rPr>
          <w:rFonts w:ascii="Times New Roman" w:cs="Times New Roman" w:eastAsia="Times New Roman" w:hAnsi="Times New Roman"/>
          <w:sz w:val="18"/>
          <w:szCs w:val="18"/>
          <w:color w:val="auto"/>
        </w:rPr>
        <w:t>As part of our depositary agreement with Citibank (which is acting as our exclusive depositary for our publicly listed ADSs), we are entitled to receive a portion of the fees collected by Citibank on ADS transactions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(e.g., issuance, cancellation and depositary service fees).</w:t>
      </w:r>
    </w:p>
    <w:p>
      <w:pPr>
        <w:spacing w:after="0" w:line="3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For the</w:t>
            </w: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three months ended March 31, 2026</w:t>
            </w: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our income related to depositary service fees was</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€205.0</w:t>
            </w:r>
          </w:p>
        </w:tc>
      </w:tr>
      <w:tr>
        <w:trPr>
          <w:trHeight w:val="184"/>
        </w:trPr>
        <w:tc>
          <w:tcPr>
            <w:tcW w:w="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thousand, as</w:t>
            </w:r>
          </w:p>
        </w:tc>
        <w:tc>
          <w:tcPr>
            <w:tcW w:w="686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compared to  €24.5 thousand  for the  three months ended March 31, 2025  , an increase of</w:t>
            </w:r>
          </w:p>
        </w:tc>
        <w:tc>
          <w:tcPr>
            <w:tcW w:w="6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w w:val="96"/>
              </w:rPr>
              <w:t>€180.6</w:t>
            </w:r>
          </w:p>
        </w:tc>
      </w:tr>
      <w:tr>
        <w:trPr>
          <w:trHeight w:val="196"/>
        </w:trPr>
        <w:tc>
          <w:tcPr>
            <w:tcW w:w="9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thousand, or</w:t>
            </w:r>
          </w:p>
        </w:tc>
        <w:tc>
          <w:tcPr>
            <w:tcW w:w="27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739%. The 2026 fees mainly reflect</w:t>
            </w:r>
          </w:p>
        </w:tc>
        <w:tc>
          <w:tcPr>
            <w:tcW w:w="474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the larger number of transactions that occurred during the first</w:t>
            </w:r>
          </w:p>
        </w:tc>
      </w:tr>
    </w:tbl>
    <w:p>
      <w:pPr>
        <w:ind w:left="300"/>
        <w:spacing w:after="0"/>
        <w:rPr>
          <w:sz w:val="20"/>
          <w:szCs w:val="20"/>
          <w:color w:val="auto"/>
        </w:rPr>
      </w:pPr>
      <w:r>
        <w:rPr>
          <w:rFonts w:ascii="Times New Roman" w:cs="Times New Roman" w:eastAsia="Times New Roman" w:hAnsi="Times New Roman"/>
          <w:sz w:val="18"/>
          <w:szCs w:val="18"/>
          <w:color w:val="auto"/>
        </w:rPr>
        <w:t>quarter of 2026 compared to 2025.</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Total Operating Expenses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For the three months ended March 31, 2026 , our total operating expenses were €57.6 million, as compared to</w:t>
      </w:r>
    </w:p>
    <w:p>
      <w:pPr>
        <w:ind w:left="300"/>
        <w:spacing w:after="0" w:line="205" w:lineRule="auto"/>
        <w:rPr>
          <w:sz w:val="20"/>
          <w:szCs w:val="20"/>
          <w:color w:val="auto"/>
        </w:rPr>
      </w:pPr>
      <w:r>
        <w:rPr>
          <w:rFonts w:ascii="Times New Roman" w:cs="Times New Roman" w:eastAsia="Times New Roman" w:hAnsi="Times New Roman"/>
          <w:sz w:val="18"/>
          <w:szCs w:val="18"/>
          <w:color w:val="auto"/>
        </w:rPr>
        <w:t>€48.2 million for the three months ended March 31, 2025 , an i ncrease of €9.4 million, or 19%. This increase was</w:t>
      </w:r>
    </w:p>
    <w:p>
      <w:pPr>
        <w:ind w:left="300"/>
        <w:spacing w:after="0" w:line="204" w:lineRule="auto"/>
        <w:tabs>
          <w:tab w:leader="none" w:pos="5540" w:val="left"/>
        </w:tabs>
        <w:rPr>
          <w:sz w:val="20"/>
          <w:szCs w:val="20"/>
          <w:color w:val="auto"/>
        </w:rPr>
      </w:pPr>
      <w:r>
        <w:rPr>
          <w:rFonts w:ascii="Times New Roman" w:cs="Times New Roman" w:eastAsia="Times New Roman" w:hAnsi="Times New Roman"/>
          <w:sz w:val="18"/>
          <w:szCs w:val="18"/>
          <w:color w:val="auto"/>
        </w:rPr>
        <w:t>primarily due to an increase in research and development expenses of</w:t>
        <w:tab/>
        <w:t>€10.2 million and an increase in sales and</w:t>
      </w:r>
    </w:p>
    <w:p>
      <w:pPr>
        <w:ind w:left="300"/>
        <w:spacing w:after="0" w:line="219" w:lineRule="auto"/>
        <w:tabs>
          <w:tab w:leader="none" w:pos="8260" w:val="left"/>
        </w:tabs>
        <w:rPr>
          <w:sz w:val="20"/>
          <w:szCs w:val="20"/>
          <w:color w:val="auto"/>
        </w:rPr>
      </w:pPr>
      <w:r>
        <w:rPr>
          <w:rFonts w:ascii="Times New Roman" w:cs="Times New Roman" w:eastAsia="Times New Roman" w:hAnsi="Times New Roman"/>
          <w:sz w:val="18"/>
          <w:szCs w:val="18"/>
          <w:color w:val="auto"/>
        </w:rPr>
        <w:t>marketing expenses of €0.9 million, partially offset by a decrease in general and administrative expenses of</w:t>
        <w:tab/>
        <w:t>€(1.7)</w:t>
      </w:r>
    </w:p>
    <w:p>
      <w:pPr>
        <w:ind w:left="300"/>
        <w:spacing w:after="0"/>
        <w:rPr>
          <w:sz w:val="20"/>
          <w:szCs w:val="20"/>
          <w:color w:val="auto"/>
        </w:rPr>
      </w:pPr>
      <w:r>
        <w:rPr>
          <w:rFonts w:ascii="Times New Roman" w:cs="Times New Roman" w:eastAsia="Times New Roman" w:hAnsi="Times New Roman"/>
          <w:sz w:val="18"/>
          <w:szCs w:val="18"/>
          <w:color w:val="auto"/>
        </w:rPr>
        <w:t>million, each as described below.</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left="300" w:right="519" w:firstLine="441"/>
        <w:spacing w:after="0" w:line="236" w:lineRule="auto"/>
        <w:rPr>
          <w:sz w:val="20"/>
          <w:szCs w:val="20"/>
          <w:color w:val="auto"/>
        </w:rPr>
      </w:pPr>
      <w:r>
        <w:rPr>
          <w:rFonts w:ascii="Times New Roman" w:cs="Times New Roman" w:eastAsia="Times New Roman" w:hAnsi="Times New Roman"/>
          <w:sz w:val="17"/>
          <w:szCs w:val="17"/>
          <w:color w:val="auto"/>
        </w:rPr>
        <w:t>Sales and marketing expenses consist primarily of personnel expenses, including share-based compensation expenses, for employees engaged in sales and marketing activities, as well as consulting costs associated with</w:t>
      </w:r>
    </w:p>
    <w:p>
      <w:pPr>
        <w:ind w:left="300"/>
        <w:spacing w:after="0"/>
        <w:rPr>
          <w:sz w:val="20"/>
          <w:szCs w:val="20"/>
          <w:color w:val="auto"/>
        </w:rPr>
      </w:pPr>
      <w:r>
        <w:rPr>
          <w:rFonts w:ascii="Times New Roman" w:cs="Times New Roman" w:eastAsia="Times New Roman" w:hAnsi="Times New Roman"/>
          <w:sz w:val="18"/>
          <w:szCs w:val="18"/>
          <w:color w:val="auto"/>
        </w:rPr>
        <w:t>market research in preparation for our potential future sales and commercialization efforts in the U.S.</w:t>
      </w:r>
    </w:p>
    <w:p>
      <w:pPr>
        <w:spacing w:after="0" w:line="45" w:lineRule="exact"/>
        <w:rPr>
          <w:sz w:val="20"/>
          <w:szCs w:val="20"/>
          <w:color w:val="auto"/>
        </w:rPr>
      </w:pPr>
    </w:p>
    <w:p>
      <w:pPr>
        <w:ind w:left="740"/>
        <w:spacing w:after="0"/>
        <w:tabs>
          <w:tab w:leader="none" w:pos="7520" w:val="left"/>
        </w:tabs>
        <w:rPr>
          <w:sz w:val="20"/>
          <w:szCs w:val="20"/>
          <w:color w:val="auto"/>
        </w:rPr>
      </w:pPr>
      <w:r>
        <w:rPr>
          <w:rFonts w:ascii="Times New Roman" w:cs="Times New Roman" w:eastAsia="Times New Roman" w:hAnsi="Times New Roman"/>
          <w:sz w:val="18"/>
          <w:szCs w:val="18"/>
          <w:color w:val="auto"/>
        </w:rPr>
        <w:t>For the three months ended March 31, 2026  , our total sales and marketing expenses were</w:t>
      </w:r>
      <w:r>
        <w:rPr>
          <w:sz w:val="20"/>
          <w:szCs w:val="20"/>
          <w:color w:val="auto"/>
        </w:rPr>
        <w:tab/>
      </w:r>
      <w:r>
        <w:rPr>
          <w:rFonts w:ascii="Times New Roman" w:cs="Times New Roman" w:eastAsia="Times New Roman" w:hAnsi="Times New Roman"/>
          <w:sz w:val="17"/>
          <w:szCs w:val="17"/>
          <w:color w:val="auto"/>
        </w:rPr>
        <w:t>€1.7 million , as</w:t>
      </w:r>
    </w:p>
    <w:p>
      <w:pPr>
        <w:ind w:left="300"/>
        <w:spacing w:after="0" w:line="219" w:lineRule="auto"/>
        <w:rPr>
          <w:sz w:val="20"/>
          <w:szCs w:val="20"/>
          <w:color w:val="auto"/>
        </w:rPr>
      </w:pPr>
      <w:r>
        <w:rPr>
          <w:rFonts w:ascii="Times New Roman" w:cs="Times New Roman" w:eastAsia="Times New Roman" w:hAnsi="Times New Roman"/>
          <w:sz w:val="18"/>
          <w:szCs w:val="18"/>
          <w:color w:val="auto"/>
        </w:rPr>
        <w:t>compared to €0.9 million for the three months ended March 31, 2025 , an increase of  €0.9 million, or 103%. The</w:t>
      </w:r>
    </w:p>
    <w:p>
      <w:pPr>
        <w:ind w:left="300"/>
        <w:spacing w:after="0" w:line="215" w:lineRule="auto"/>
        <w:tabs>
          <w:tab w:leader="none" w:pos="6260" w:val="left"/>
        </w:tabs>
        <w:rPr>
          <w:sz w:val="20"/>
          <w:szCs w:val="20"/>
          <w:color w:val="auto"/>
        </w:rPr>
      </w:pPr>
      <w:r>
        <w:rPr>
          <w:rFonts w:ascii="Times New Roman" w:cs="Times New Roman" w:eastAsia="Times New Roman" w:hAnsi="Times New Roman"/>
          <w:sz w:val="18"/>
          <w:szCs w:val="18"/>
          <w:color w:val="auto"/>
        </w:rPr>
        <w:t>increase was predominantly driven by costs related to our preparation</w:t>
      </w:r>
      <w:r>
        <w:rPr>
          <w:sz w:val="20"/>
          <w:szCs w:val="20"/>
          <w:color w:val="auto"/>
        </w:rPr>
        <w:tab/>
      </w:r>
      <w:r>
        <w:rPr>
          <w:rFonts w:ascii="Times New Roman" w:cs="Times New Roman" w:eastAsia="Times New Roman" w:hAnsi="Times New Roman"/>
          <w:sz w:val="17"/>
          <w:szCs w:val="17"/>
          <w:color w:val="auto"/>
        </w:rPr>
        <w:t>for potential future sales and</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commercialization efforts for obefazimod in the U.S.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92" w:lineRule="exact"/>
        <w:rPr>
          <w:sz w:val="20"/>
          <w:szCs w:val="20"/>
          <w:color w:val="auto"/>
        </w:rPr>
      </w:pPr>
    </w:p>
    <w:p>
      <w:pPr>
        <w:ind w:left="300" w:right="739" w:firstLine="441"/>
        <w:spacing w:after="0" w:line="237" w:lineRule="auto"/>
        <w:rPr>
          <w:sz w:val="20"/>
          <w:szCs w:val="20"/>
          <w:color w:val="auto"/>
        </w:rPr>
      </w:pPr>
      <w:r>
        <w:rPr>
          <w:rFonts w:ascii="Times New Roman" w:cs="Times New Roman" w:eastAsia="Times New Roman" w:hAnsi="Times New Roman"/>
          <w:sz w:val="18"/>
          <w:szCs w:val="18"/>
          <w:color w:val="auto"/>
        </w:rPr>
        <w:t>The following table sets forth our research and development expenses by drug candidate and therapeutic indication for the three months ended March 31, 2025 and 2026.</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81"/>
        </w:trPr>
        <w:tc>
          <w:tcPr>
            <w:tcW w:w="4680" w:type="dxa"/>
            <w:vAlign w:val="bottom"/>
            <w:vMerge w:val="restart"/>
          </w:tcPr>
          <w:p>
            <w:pPr>
              <w:jc w:val="right"/>
              <w:ind w:right="3172"/>
              <w:spacing w:after="0"/>
              <w:rPr>
                <w:sz w:val="20"/>
                <w:szCs w:val="20"/>
                <w:color w:val="auto"/>
              </w:rPr>
            </w:pPr>
            <w:r>
              <w:rPr>
                <w:rFonts w:ascii="Times New Roman" w:cs="Times New Roman" w:eastAsia="Times New Roman" w:hAnsi="Times New Roman"/>
                <w:sz w:val="14"/>
                <w:szCs w:val="14"/>
                <w:b w:val="1"/>
                <w:bCs w:val="1"/>
                <w:color w:val="auto"/>
              </w:rPr>
              <w:t>(In thousands of euros)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09"/>
        </w:trPr>
        <w:tc>
          <w:tcPr>
            <w:tcW w:w="468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68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Obefazimod </w:t>
            </w:r>
            <w:r>
              <w:rPr>
                <w:rFonts w:ascii="Times New Roman" w:cs="Times New Roman" w:eastAsia="Times New Roman" w:hAnsi="Times New Roman"/>
                <w:sz w:val="18"/>
                <w:szCs w:val="18"/>
                <w:b w:val="1"/>
                <w:bCs w:val="1"/>
                <w:color w:val="B4B4B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38,731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46,809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0" w:type="dxa"/>
            <w:vAlign w:val="bottom"/>
          </w:tcPr>
          <w:p>
            <w:pPr>
              <w:spacing w:after="0"/>
              <w:rPr>
                <w:sz w:val="1"/>
                <w:szCs w:val="1"/>
                <w:color w:val="auto"/>
              </w:rPr>
            </w:pPr>
          </w:p>
        </w:tc>
      </w:tr>
      <w:tr>
        <w:trPr>
          <w:trHeight w:val="236"/>
        </w:trPr>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Ulcerative Colitis </w:t>
            </w:r>
            <w:r>
              <w:rPr>
                <w:rFonts w:ascii="Times New Roman" w:cs="Times New Roman" w:eastAsia="Times New Roman" w:hAnsi="Times New Roman"/>
                <w:sz w:val="18"/>
                <w:szCs w:val="18"/>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29,175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25,211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 %</w:t>
            </w:r>
          </w:p>
        </w:tc>
        <w:tc>
          <w:tcPr>
            <w:tcW w:w="0" w:type="dxa"/>
            <w:vAlign w:val="bottom"/>
          </w:tcPr>
          <w:p>
            <w:pPr>
              <w:spacing w:after="0"/>
              <w:rPr>
                <w:sz w:val="1"/>
                <w:szCs w:val="1"/>
                <w:color w:val="auto"/>
              </w:rPr>
            </w:pPr>
          </w:p>
        </w:tc>
      </w:tr>
      <w:tr>
        <w:trPr>
          <w:trHeight w:val="257"/>
        </w:trPr>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Crohn's Disease</w:t>
            </w:r>
            <w:r>
              <w:rPr>
                <w:rFonts w:ascii="Times New Roman" w:cs="Times New Roman" w:eastAsia="Times New Roman" w:hAnsi="Times New Roman"/>
                <w:sz w:val="18"/>
                <w:szCs w:val="18"/>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3,394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5,443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60 %</w:t>
            </w:r>
          </w:p>
        </w:tc>
        <w:tc>
          <w:tcPr>
            <w:tcW w:w="0" w:type="dxa"/>
            <w:vAlign w:val="bottom"/>
          </w:tcPr>
          <w:p>
            <w:pPr>
              <w:spacing w:after="0"/>
              <w:rPr>
                <w:sz w:val="1"/>
                <w:szCs w:val="1"/>
                <w:color w:val="auto"/>
              </w:rPr>
            </w:pPr>
          </w:p>
        </w:tc>
      </w:tr>
      <w:tr>
        <w:trPr>
          <w:trHeight w:val="257"/>
        </w:trPr>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Obefazimod Other Indications </w:t>
            </w:r>
            <w:r>
              <w:rPr>
                <w:rFonts w:ascii="Times New Roman" w:cs="Times New Roman" w:eastAsia="Times New Roman" w:hAnsi="Times New Roman"/>
                <w:sz w:val="18"/>
                <w:szCs w:val="18"/>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8,030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0" w:type="dxa"/>
            <w:vAlign w:val="bottom"/>
          </w:tcPr>
          <w:p>
            <w:pPr>
              <w:spacing w:after="0"/>
              <w:rPr>
                <w:sz w:val="1"/>
                <w:szCs w:val="1"/>
                <w:color w:val="auto"/>
              </w:rPr>
            </w:pPr>
          </w:p>
        </w:tc>
      </w:tr>
      <w:tr>
        <w:trPr>
          <w:trHeight w:val="256"/>
        </w:trPr>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Transversal activities </w:t>
            </w:r>
            <w:r>
              <w:rPr>
                <w:rFonts w:ascii="Times New Roman" w:cs="Times New Roman" w:eastAsia="Times New Roman" w:hAnsi="Times New Roman"/>
                <w:sz w:val="18"/>
                <w:szCs w:val="18"/>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6,162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8,125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32 %</w:t>
            </w:r>
          </w:p>
        </w:tc>
        <w:tc>
          <w:tcPr>
            <w:tcW w:w="0" w:type="dxa"/>
            <w:vAlign w:val="bottom"/>
          </w:tcPr>
          <w:p>
            <w:pPr>
              <w:spacing w:after="0"/>
              <w:rPr>
                <w:sz w:val="1"/>
                <w:szCs w:val="1"/>
                <w:color w:val="auto"/>
              </w:rPr>
            </w:pPr>
          </w:p>
        </w:tc>
      </w:tr>
      <w:tr>
        <w:trPr>
          <w:trHeight w:val="256"/>
        </w:trPr>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Others </w:t>
            </w:r>
            <w:r>
              <w:rPr>
                <w:rFonts w:ascii="Times New Roman" w:cs="Times New Roman" w:eastAsia="Times New Roman" w:hAnsi="Times New Roman"/>
                <w:sz w:val="18"/>
                <w:szCs w:val="18"/>
                <w:b w:val="1"/>
                <w:bCs w:val="1"/>
                <w:color w:val="B4B4B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380 %</w:t>
            </w:r>
          </w:p>
        </w:tc>
        <w:tc>
          <w:tcPr>
            <w:tcW w:w="0" w:type="dxa"/>
            <w:vAlign w:val="bottom"/>
          </w:tcPr>
          <w:p>
            <w:pPr>
              <w:spacing w:after="0"/>
              <w:rPr>
                <w:sz w:val="1"/>
                <w:szCs w:val="1"/>
                <w:color w:val="auto"/>
              </w:rPr>
            </w:pPr>
          </w:p>
        </w:tc>
      </w:tr>
      <w:tr>
        <w:trPr>
          <w:trHeight w:val="304"/>
        </w:trPr>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b w:val="1"/>
                <w:bCs w:val="1"/>
                <w:color w:val="B4B4B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39,301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49,542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8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7"/>
        </w:trPr>
        <w:tc>
          <w:tcPr>
            <w:tcW w:w="71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For the three months ended March 31, 2026 , our research and development expenses were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€49.5 million, as</w:t>
            </w:r>
          </w:p>
        </w:tc>
        <w:tc>
          <w:tcPr>
            <w:tcW w:w="0" w:type="dxa"/>
            <w:vAlign w:val="bottom"/>
          </w:tcPr>
          <w:p>
            <w:pPr>
              <w:spacing w:after="0"/>
              <w:rPr>
                <w:sz w:val="1"/>
                <w:szCs w:val="1"/>
                <w:color w:val="auto"/>
              </w:rPr>
            </w:pPr>
          </w:p>
        </w:tc>
      </w:tr>
    </w:tbl>
    <w:p>
      <w:pPr>
        <w:ind w:left="300"/>
        <w:spacing w:after="0"/>
        <w:rPr>
          <w:sz w:val="20"/>
          <w:szCs w:val="20"/>
          <w:color w:val="auto"/>
        </w:rPr>
      </w:pPr>
      <w:r>
        <w:rPr>
          <w:rFonts w:ascii="Times New Roman" w:cs="Times New Roman" w:eastAsia="Times New Roman" w:hAnsi="Times New Roman"/>
          <w:sz w:val="18"/>
          <w:szCs w:val="18"/>
          <w:color w:val="auto"/>
        </w:rPr>
        <w:t>compared to €39.3 million for the three months ended March 31, 2025, an increase of €10.2 million, or 26%.</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019"/>
          </w:cols>
          <w:pgMar w:left="1440" w:top="1440" w:right="1440" w:bottom="1440" w:gutter="0" w:footer="0" w:header="0"/>
          <w:type w:val="continuous"/>
        </w:sectPr>
      </w:pPr>
    </w:p>
    <w:bookmarkStart w:id="11" w:name="page12"/>
    <w:bookmarkEnd w:id="11"/>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right="319" w:firstLine="441"/>
        <w:spacing w:after="0" w:line="222" w:lineRule="auto"/>
        <w:rPr>
          <w:sz w:val="20"/>
          <w:szCs w:val="20"/>
          <w:color w:val="auto"/>
        </w:rPr>
      </w:pPr>
      <w:r>
        <w:rPr>
          <w:rFonts w:ascii="Times New Roman" w:cs="Times New Roman" w:eastAsia="Times New Roman" w:hAnsi="Times New Roman"/>
          <w:sz w:val="18"/>
          <w:szCs w:val="18"/>
          <w:color w:val="auto"/>
        </w:rPr>
        <w:t>This increase was primarily due to an increase in expenses related to new indications (including combination therapy) for obefazimod of €8.0 million, and an increase in expenses related to our CD program of €2.0 million, or</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60%, resulting from the progression of our Phase 2b trials in CD, an increase in expenses related to transversal activities of €2.0 million , or 32%, mainly due to increased chemistry, manufacturing and controls ("CMC") &amp; supply chain costs related to the progression of clinical trials and anticipation of potential future commercial launch.</w:t>
      </w:r>
    </w:p>
    <w:p>
      <w:pPr>
        <w:spacing w:after="0" w:line="2" w:lineRule="exact"/>
        <w:rPr>
          <w:sz w:val="20"/>
          <w:szCs w:val="20"/>
          <w:color w:val="auto"/>
        </w:rPr>
      </w:pPr>
    </w:p>
    <w:p>
      <w:pPr>
        <w:ind w:left="300" w:right="299"/>
        <w:spacing w:after="0" w:line="218" w:lineRule="auto"/>
        <w:rPr>
          <w:sz w:val="20"/>
          <w:szCs w:val="20"/>
          <w:color w:val="auto"/>
        </w:rPr>
      </w:pPr>
      <w:r>
        <w:rPr>
          <w:rFonts w:ascii="Times New Roman" w:cs="Times New Roman" w:eastAsia="Times New Roman" w:hAnsi="Times New Roman"/>
          <w:sz w:val="18"/>
          <w:szCs w:val="18"/>
          <w:color w:val="auto"/>
        </w:rPr>
        <w:t>These were partly offset by a decrease in expenses related to our UC program of €(4.0) million , or (14)%, attributable to decreased activity on our ABTECT clinical program as a result of reaching a major milestone with our Phase 3 induction trials in 2025.</w:t>
      </w:r>
    </w:p>
    <w:p>
      <w:pPr>
        <w:spacing w:after="0" w:line="64" w:lineRule="exact"/>
        <w:rPr>
          <w:sz w:val="20"/>
          <w:szCs w:val="20"/>
          <w:color w:val="auto"/>
        </w:rPr>
      </w:pPr>
    </w:p>
    <w:p>
      <w:pPr>
        <w:jc w:val="both"/>
        <w:ind w:left="300" w:right="419" w:firstLine="441"/>
        <w:spacing w:after="0" w:line="229" w:lineRule="auto"/>
        <w:rPr>
          <w:sz w:val="20"/>
          <w:szCs w:val="20"/>
          <w:color w:val="auto"/>
        </w:rPr>
      </w:pPr>
      <w:r>
        <w:rPr>
          <w:rFonts w:ascii="Times New Roman" w:cs="Times New Roman" w:eastAsia="Times New Roman" w:hAnsi="Times New Roman"/>
          <w:sz w:val="17"/>
          <w:szCs w:val="17"/>
          <w:color w:val="auto"/>
        </w:rPr>
        <w:t>In addition, an increase in share-based compensation expense related to the accelerated vesting of certain of our former Chief Scientific Officer's AGA plans in March 2026, as well as the impact of share-based compensation plans granted in 2025, contributed to the overall increase in research and development expenses across all</w:t>
      </w:r>
    </w:p>
    <w:p>
      <w:pPr>
        <w:ind w:left="300" w:right="999"/>
        <w:spacing w:after="0" w:line="226" w:lineRule="auto"/>
        <w:rPr>
          <w:sz w:val="20"/>
          <w:szCs w:val="20"/>
          <w:color w:val="auto"/>
        </w:rPr>
      </w:pPr>
      <w:r>
        <w:rPr>
          <w:rFonts w:ascii="Times New Roman" w:cs="Times New Roman" w:eastAsia="Times New Roman" w:hAnsi="Times New Roman"/>
          <w:sz w:val="18"/>
          <w:szCs w:val="18"/>
          <w:color w:val="auto"/>
        </w:rPr>
        <w:t>destinations, in an amount of €17.5 million (of which €6.6 million related to UC and €6.5 million related to Obefazimod Other Indications).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32"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81"/>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euros)</w:t>
            </w:r>
          </w:p>
        </w:tc>
        <w:tc>
          <w:tcPr>
            <w:tcW w:w="1060" w:type="dxa"/>
            <w:vAlign w:val="bottom"/>
          </w:tcPr>
          <w:p>
            <w:pPr>
              <w:spacing w:after="0"/>
              <w:rPr>
                <w:sz w:val="7"/>
                <w:szCs w:val="7"/>
                <w:color w:val="auto"/>
              </w:rPr>
            </w:pPr>
          </w:p>
        </w:tc>
        <w:tc>
          <w:tcPr>
            <w:tcW w:w="140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3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7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720" w:type="dxa"/>
            <w:vAlign w:val="bottom"/>
          </w:tcPr>
          <w:p>
            <w:pPr>
              <w:spacing w:after="0"/>
              <w:rPr>
                <w:sz w:val="8"/>
                <w:szCs w:val="8"/>
                <w:color w:val="auto"/>
              </w:rPr>
            </w:pPr>
          </w:p>
        </w:tc>
        <w:tc>
          <w:tcPr>
            <w:tcW w:w="2460" w:type="dxa"/>
            <w:vAlign w:val="bottom"/>
            <w:gridSpan w:val="2"/>
            <w:vMerge w:val="restart"/>
          </w:tcPr>
          <w:p>
            <w:pPr>
              <w:jc w:val="center"/>
              <w:ind w:left="8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0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720" w:type="dxa"/>
            <w:vAlign w:val="bottom"/>
          </w:tcPr>
          <w:p>
            <w:pPr>
              <w:spacing w:after="0"/>
              <w:rPr>
                <w:sz w:val="8"/>
                <w:szCs w:val="8"/>
                <w:color w:val="auto"/>
              </w:rPr>
            </w:pPr>
          </w:p>
        </w:tc>
        <w:tc>
          <w:tcPr>
            <w:tcW w:w="246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76"/>
              </w:rPr>
              <w:t xml:space="preserve">Personnel costs </w:t>
            </w:r>
            <w:r>
              <w:rPr>
                <w:rFonts w:ascii="Times New Roman" w:cs="Times New Roman" w:eastAsia="Times New Roman" w:hAnsi="Times New Roman"/>
                <w:sz w:val="18"/>
                <w:szCs w:val="18"/>
                <w:color w:val="B4B4B4"/>
                <w:w w:val="76"/>
              </w:rPr>
              <w:t>..........................................................................</w:t>
            </w:r>
          </w:p>
        </w:tc>
        <w:tc>
          <w:tcPr>
            <w:tcW w:w="24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5,059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57"/>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76"/>
              </w:rPr>
              <w:t xml:space="preserve">Consulting and professional fees </w:t>
            </w:r>
            <w:r>
              <w:rPr>
                <w:rFonts w:ascii="Times New Roman" w:cs="Times New Roman" w:eastAsia="Times New Roman" w:hAnsi="Times New Roman"/>
                <w:sz w:val="18"/>
                <w:szCs w:val="18"/>
                <w:color w:val="B4B4B4"/>
                <w:w w:val="76"/>
              </w:rPr>
              <w:t>...............................................</w:t>
            </w:r>
          </w:p>
        </w:tc>
        <w:tc>
          <w:tcPr>
            <w:tcW w:w="24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1,935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76"/>
              </w:rPr>
              <w:t xml:space="preserve">Other general and administrative expenses </w:t>
            </w:r>
            <w:r>
              <w:rPr>
                <w:rFonts w:ascii="Times New Roman" w:cs="Times New Roman" w:eastAsia="Times New Roman" w:hAnsi="Times New Roman"/>
                <w:sz w:val="18"/>
                <w:szCs w:val="18"/>
                <w:color w:val="B4B4B4"/>
                <w:w w:val="76"/>
              </w:rPr>
              <w:t>...............................</w:t>
            </w:r>
          </w:p>
        </w:tc>
        <w:tc>
          <w:tcPr>
            <w:tcW w:w="24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1,039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76"/>
              </w:rPr>
              <w:t xml:space="preserve">General and administrative expenses </w:t>
            </w:r>
            <w:r>
              <w:rPr>
                <w:rFonts w:ascii="Times New Roman" w:cs="Times New Roman" w:eastAsia="Times New Roman" w:hAnsi="Times New Roman"/>
                <w:sz w:val="18"/>
                <w:szCs w:val="18"/>
                <w:b w:val="1"/>
                <w:bCs w:val="1"/>
                <w:color w:val="B4B4B4"/>
                <w:w w:val="76"/>
              </w:rPr>
              <w:t>....................................</w:t>
            </w:r>
          </w:p>
        </w:tc>
        <w:tc>
          <w:tcPr>
            <w:tcW w:w="1060" w:type="dxa"/>
            <w:vAlign w:val="bottom"/>
          </w:tcPr>
          <w:p>
            <w:pPr>
              <w:spacing w:after="0"/>
              <w:rPr>
                <w:sz w:val="22"/>
                <w:szCs w:val="22"/>
                <w:color w:val="auto"/>
              </w:rPr>
            </w:pPr>
          </w:p>
        </w:tc>
        <w:tc>
          <w:tcPr>
            <w:tcW w:w="14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8,033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6,283</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4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3"/>
        </w:trPr>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 the three months ended March 31, 2026</w:t>
            </w:r>
          </w:p>
        </w:tc>
        <w:tc>
          <w:tcPr>
            <w:tcW w:w="4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our general and administrative expenses were  €6.3 million, as</w:t>
            </w:r>
          </w:p>
        </w:tc>
        <w:tc>
          <w:tcPr>
            <w:tcW w:w="0" w:type="dxa"/>
            <w:vAlign w:val="bottom"/>
          </w:tcPr>
          <w:p>
            <w:pPr>
              <w:spacing w:after="0"/>
              <w:rPr>
                <w:sz w:val="1"/>
                <w:szCs w:val="1"/>
                <w:color w:val="auto"/>
              </w:rPr>
            </w:pPr>
          </w:p>
        </w:tc>
      </w:tr>
      <w:tr>
        <w:trPr>
          <w:trHeight w:val="196"/>
        </w:trPr>
        <w:tc>
          <w:tcPr>
            <w:tcW w:w="61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compared to €8.0 million for the three months ended March 31, 2025 , a decrease of</w:t>
            </w:r>
          </w:p>
        </w:tc>
        <w:tc>
          <w:tcPr>
            <w:tcW w:w="224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€(1.7) million, or (22)%. This</w:t>
            </w:r>
          </w:p>
        </w:tc>
        <w:tc>
          <w:tcPr>
            <w:tcW w:w="0" w:type="dxa"/>
            <w:vAlign w:val="bottom"/>
          </w:tcPr>
          <w:p>
            <w:pPr>
              <w:spacing w:after="0"/>
              <w:rPr>
                <w:sz w:val="1"/>
                <w:szCs w:val="1"/>
                <w:color w:val="auto"/>
              </w:rPr>
            </w:pPr>
          </w:p>
        </w:tc>
      </w:tr>
    </w:tbl>
    <w:p>
      <w:pPr>
        <w:ind w:left="300"/>
        <w:spacing w:after="0" w:line="203" w:lineRule="auto"/>
        <w:rPr>
          <w:sz w:val="20"/>
          <w:szCs w:val="20"/>
          <w:color w:val="auto"/>
        </w:rPr>
      </w:pPr>
      <w:r>
        <w:rPr>
          <w:rFonts w:ascii="Times New Roman" w:cs="Times New Roman" w:eastAsia="Times New Roman" w:hAnsi="Times New Roman"/>
          <w:sz w:val="18"/>
          <w:szCs w:val="18"/>
          <w:color w:val="auto"/>
        </w:rPr>
        <w:t>decrease was primarily due to a €(3.4) million, or (68)%, decrease in personnel costs, attributable to the decrease in</w:t>
      </w:r>
    </w:p>
    <w:p>
      <w:pPr>
        <w:ind w:left="300"/>
        <w:spacing w:after="0" w:line="219" w:lineRule="auto"/>
        <w:tabs>
          <w:tab w:leader="none" w:pos="5520" w:val="left"/>
          <w:tab w:leader="none" w:pos="8320" w:val="left"/>
        </w:tabs>
        <w:rPr>
          <w:sz w:val="20"/>
          <w:szCs w:val="20"/>
          <w:color w:val="auto"/>
        </w:rPr>
      </w:pPr>
      <w:r>
        <w:rPr>
          <w:rFonts w:ascii="Times New Roman" w:cs="Times New Roman" w:eastAsia="Times New Roman" w:hAnsi="Times New Roman"/>
          <w:sz w:val="18"/>
          <w:szCs w:val="18"/>
          <w:color w:val="auto"/>
        </w:rPr>
        <w:t>employer tax and social contributions related to our AGAs of €(3.5</w:t>
      </w:r>
      <w:r>
        <w:rPr>
          <w:sz w:val="20"/>
          <w:szCs w:val="20"/>
          <w:color w:val="auto"/>
        </w:rPr>
        <w:tab/>
      </w:r>
      <w:r>
        <w:rPr>
          <w:rFonts w:ascii="Times New Roman" w:cs="Times New Roman" w:eastAsia="Times New Roman" w:hAnsi="Times New Roman"/>
          <w:sz w:val="18"/>
          <w:szCs w:val="18"/>
          <w:color w:val="auto"/>
        </w:rPr>
        <w:t>) million , resulting primarily from (i</w:t>
        <w:tab/>
        <w:t>) the</w:t>
      </w:r>
    </w:p>
    <w:p>
      <w:pPr>
        <w:spacing w:after="0" w:line="1" w:lineRule="exact"/>
        <w:rPr>
          <w:sz w:val="20"/>
          <w:szCs w:val="20"/>
          <w:color w:val="auto"/>
        </w:rPr>
      </w:pPr>
    </w:p>
    <w:p>
      <w:pPr>
        <w:jc w:val="both"/>
        <w:ind w:left="300" w:right="319"/>
        <w:spacing w:after="0" w:line="220" w:lineRule="auto"/>
        <w:rPr>
          <w:sz w:val="20"/>
          <w:szCs w:val="20"/>
          <w:color w:val="auto"/>
        </w:rPr>
      </w:pPr>
      <w:r>
        <w:rPr>
          <w:rFonts w:ascii="Times New Roman" w:cs="Times New Roman" w:eastAsia="Times New Roman" w:hAnsi="Times New Roman"/>
          <w:sz w:val="17"/>
          <w:szCs w:val="17"/>
          <w:color w:val="auto"/>
        </w:rPr>
        <w:t>decrease in our share price during the first quarter of 2026 and , to a lesser extent, (ii) forfeitures following employee departures and changes in estimates regarding the achievement of vesting conditions. The decrease was partly offset by a €1.4 million, or 73%, increase in consulting and professional fees , driven by increased costs associated with</w:t>
      </w:r>
    </w:p>
    <w:p>
      <w:pPr>
        <w:spacing w:after="0" w:line="2" w:lineRule="exact"/>
        <w:rPr>
          <w:sz w:val="20"/>
          <w:szCs w:val="20"/>
          <w:color w:val="auto"/>
        </w:rPr>
      </w:pPr>
    </w:p>
    <w:p>
      <w:pPr>
        <w:jc w:val="both"/>
        <w:ind w:left="300" w:right="319"/>
        <w:spacing w:after="0" w:line="226" w:lineRule="auto"/>
        <w:rPr>
          <w:sz w:val="20"/>
          <w:szCs w:val="20"/>
          <w:color w:val="auto"/>
        </w:rPr>
      </w:pPr>
      <w:r>
        <w:rPr>
          <w:rFonts w:ascii="Times New Roman" w:cs="Times New Roman" w:eastAsia="Times New Roman" w:hAnsi="Times New Roman"/>
          <w:sz w:val="18"/>
          <w:szCs w:val="18"/>
          <w:color w:val="auto"/>
        </w:rPr>
        <w:t>building our infrastructure to support future growth in our operations and to a lesser degree by a €0.3 million, or 25%, increase in other general and administrative expenses.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For the three months ended March 31, 2026 , our net operating loss was  €56.2 million, as compared to a net</w:t>
      </w:r>
    </w:p>
    <w:p>
      <w:pPr>
        <w:spacing w:after="0" w:line="2" w:lineRule="exact"/>
        <w:rPr>
          <w:sz w:val="20"/>
          <w:szCs w:val="20"/>
          <w:color w:val="auto"/>
        </w:rPr>
      </w:pPr>
    </w:p>
    <w:p>
      <w:pPr>
        <w:ind w:left="300" w:right="299"/>
        <w:spacing w:after="0" w:line="208" w:lineRule="auto"/>
        <w:rPr>
          <w:sz w:val="20"/>
          <w:szCs w:val="20"/>
          <w:color w:val="auto"/>
        </w:rPr>
      </w:pPr>
      <w:r>
        <w:rPr>
          <w:rFonts w:ascii="Times New Roman" w:cs="Times New Roman" w:eastAsia="Times New Roman" w:hAnsi="Times New Roman"/>
          <w:sz w:val="18"/>
          <w:szCs w:val="18"/>
          <w:color w:val="auto"/>
        </w:rPr>
        <w:t>operating loss of €47.2 million for the three months ended March 31, 2025, an increase of €9.0 million, or 19%. This was primarily due to a €10.2 million, or 26%, increase in research and development expenses and an increase in sales and marketing expenses of €0.9 million, or 103%, partially offset by a decrease of €(1.7) million or (22)% in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(Loss)</w:t>
      </w:r>
    </w:p>
    <w:p>
      <w:pPr>
        <w:spacing w:after="0" w:line="81" w:lineRule="exact"/>
        <w:rPr>
          <w:sz w:val="20"/>
          <w:szCs w:val="20"/>
          <w:color w:val="auto"/>
        </w:rPr>
      </w:pPr>
    </w:p>
    <w:p>
      <w:pPr>
        <w:ind w:left="740"/>
        <w:spacing w:after="0"/>
        <w:tabs>
          <w:tab w:leader="none" w:pos="6120" w:val="left"/>
        </w:tabs>
        <w:rPr>
          <w:sz w:val="20"/>
          <w:szCs w:val="20"/>
          <w:color w:val="auto"/>
        </w:rPr>
      </w:pPr>
      <w:r>
        <w:rPr>
          <w:rFonts w:ascii="Times New Roman" w:cs="Times New Roman" w:eastAsia="Times New Roman" w:hAnsi="Times New Roman"/>
          <w:sz w:val="18"/>
          <w:szCs w:val="18"/>
          <w:color w:val="auto"/>
        </w:rPr>
        <w:t>For the three months ended March 31, 2026 , our net financial gain was</w:t>
        <w:tab/>
        <w:t>€8.0 million, as compared to a net</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financial loss of €5.2 million for the three months ended March 31, 2025.</w:t>
      </w:r>
    </w:p>
    <w:p>
      <w:pPr>
        <w:spacing w:after="0" w:line="45" w:lineRule="exact"/>
        <w:rPr>
          <w:sz w:val="20"/>
          <w:szCs w:val="20"/>
          <w:color w:val="auto"/>
        </w:rPr>
      </w:pPr>
    </w:p>
    <w:p>
      <w:pPr>
        <w:ind w:left="740"/>
        <w:spacing w:after="0"/>
        <w:tabs>
          <w:tab w:leader="none" w:pos="4080" w:val="left"/>
          <w:tab w:leader="none" w:pos="5820" w:val="left"/>
        </w:tabs>
        <w:rPr>
          <w:sz w:val="20"/>
          <w:szCs w:val="20"/>
          <w:color w:val="auto"/>
        </w:rPr>
      </w:pPr>
      <w:r>
        <w:rPr>
          <w:rFonts w:ascii="Times New Roman" w:cs="Times New Roman" w:eastAsia="Times New Roman" w:hAnsi="Times New Roman"/>
          <w:sz w:val="18"/>
          <w:szCs w:val="18"/>
          <w:color w:val="auto"/>
        </w:rPr>
        <w:t>For the three months ended March 31, 2026</w:t>
        <w:tab/>
        <w:t>, our financial gain of</w:t>
        <w:tab/>
        <w:t>€8.0 million was mainly driven by (i)</w:t>
      </w:r>
    </w:p>
    <w:p>
      <w:pPr>
        <w:ind w:left="300" w:right="439"/>
        <w:spacing w:after="0" w:line="223" w:lineRule="auto"/>
        <w:rPr>
          <w:sz w:val="20"/>
          <w:szCs w:val="20"/>
          <w:color w:val="auto"/>
        </w:rPr>
      </w:pPr>
      <w:r>
        <w:rPr>
          <w:rFonts w:ascii="Times New Roman" w:cs="Times New Roman" w:eastAsia="Times New Roman" w:hAnsi="Times New Roman"/>
          <w:sz w:val="17"/>
          <w:szCs w:val="17"/>
          <w:color w:val="auto"/>
        </w:rPr>
        <w:t>foreign exchange gains of €8.7 million (including the €5.9 million and €2.5 million non-cash impacts of the revaluation of U.S. dollar-denominated intercompany receivables and cash and cash equivalents, respectively, as of</w:t>
      </w:r>
    </w:p>
    <w:p>
      <w:pPr>
        <w:spacing w:after="0" w:line="1" w:lineRule="exact"/>
        <w:rPr>
          <w:sz w:val="20"/>
          <w:szCs w:val="20"/>
          <w:color w:val="auto"/>
        </w:rPr>
      </w:pP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March 31, 2026) and (ii) interest income of €0.7 million and fair value changes of €3.3 million in relation to the invested proceeds from our U.S. initial public offering and listing on Nasdaq.</w:t>
      </w:r>
    </w:p>
    <w:p>
      <w:pPr>
        <w:spacing w:after="0" w:line="63" w:lineRule="exact"/>
        <w:rPr>
          <w:sz w:val="20"/>
          <w:szCs w:val="20"/>
          <w:color w:val="auto"/>
        </w:rPr>
      </w:pPr>
    </w:p>
    <w:p>
      <w:pPr>
        <w:ind w:left="300" w:right="899" w:firstLine="441"/>
        <w:spacing w:after="0" w:line="237" w:lineRule="auto"/>
        <w:rPr>
          <w:sz w:val="20"/>
          <w:szCs w:val="20"/>
          <w:color w:val="auto"/>
        </w:rPr>
      </w:pPr>
      <w:r>
        <w:rPr>
          <w:rFonts w:ascii="Times New Roman" w:cs="Times New Roman" w:eastAsia="Times New Roman" w:hAnsi="Times New Roman"/>
          <w:sz w:val="18"/>
          <w:szCs w:val="18"/>
          <w:color w:val="auto"/>
        </w:rPr>
        <w:t>These gains were partially offset mainly by (i) non-cash expenses of €2.5 million related to our royalty certificates and (ii) foreign exchange losses of €2.2 million.</w:t>
      </w:r>
    </w:p>
    <w:p>
      <w:pPr>
        <w:spacing w:after="0" w:line="50" w:lineRule="exact"/>
        <w:rPr>
          <w:sz w:val="20"/>
          <w:szCs w:val="20"/>
          <w:color w:val="auto"/>
        </w:rPr>
      </w:pPr>
    </w:p>
    <w:p>
      <w:pPr>
        <w:ind w:left="740"/>
        <w:spacing w:after="0"/>
        <w:tabs>
          <w:tab w:leader="none" w:pos="4080" w:val="left"/>
          <w:tab w:leader="none" w:pos="5820" w:val="left"/>
        </w:tabs>
        <w:rPr>
          <w:sz w:val="20"/>
          <w:szCs w:val="20"/>
          <w:color w:val="auto"/>
        </w:rPr>
      </w:pPr>
      <w:r>
        <w:rPr>
          <w:rFonts w:ascii="Times New Roman" w:cs="Times New Roman" w:eastAsia="Times New Roman" w:hAnsi="Times New Roman"/>
          <w:sz w:val="18"/>
          <w:szCs w:val="18"/>
          <w:color w:val="auto"/>
        </w:rPr>
        <w:t>For the three months ended March 31, 2025</w:t>
        <w:tab/>
        <w:t>, our financial loss of</w:t>
        <w:tab/>
        <w:t>€5.2 million was mainly driven by (i)</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interest expenses of €3.5 million related to the first tranche of senior secured convertible bonds with warrants attached in the Kreos / Claret Financing (the "Kreos / Claret OCABSA"), the second and third tranches of the senior secured bonds in the Kreos / Claret Financing (drawn on March 28, 2024 and June 21, 2024 respectively) and the</w:t>
      </w:r>
    </w:p>
    <w:p>
      <w:pPr>
        <w:spacing w:after="0" w:line="2" w:lineRule="exact"/>
        <w:rPr>
          <w:sz w:val="20"/>
          <w:szCs w:val="20"/>
          <w:color w:val="auto"/>
        </w:rPr>
      </w:pPr>
    </w:p>
    <w:p>
      <w:pPr>
        <w:ind w:left="300" w:right="339"/>
        <w:spacing w:after="0" w:line="231" w:lineRule="auto"/>
        <w:rPr>
          <w:sz w:val="20"/>
          <w:szCs w:val="20"/>
          <w:color w:val="auto"/>
        </w:rPr>
      </w:pPr>
      <w:r>
        <w:rPr>
          <w:rFonts w:ascii="Times New Roman" w:cs="Times New Roman" w:eastAsia="Times New Roman" w:hAnsi="Times New Roman"/>
          <w:sz w:val="17"/>
          <w:szCs w:val="17"/>
          <w:color w:val="auto"/>
        </w:rPr>
        <w:t>senior convertible notes in the Heights Financing (the "Heights Convertible Notes"), (ii) non-cash expenses of €1.0 million related to our royalty certificates and (iii) foreign exchange losses of €1.0 million (including the €0.4 million non-cash impact of the revaluation of U.S. dollar-denominated cash and cash equivalents as of March 31, 2025).</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019"/>
          </w:cols>
          <w:pgMar w:left="1440" w:top="1440" w:right="1440" w:bottom="1440" w:gutter="0" w:footer="0" w:header="0"/>
          <w:type w:val="continuous"/>
        </w:sectPr>
      </w:pPr>
    </w:p>
    <w:bookmarkStart w:id="12" w:name="page13"/>
    <w:bookmarkEnd w:id="12"/>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right="619" w:firstLine="441"/>
        <w:spacing w:after="0" w:line="237" w:lineRule="auto"/>
        <w:rPr>
          <w:sz w:val="20"/>
          <w:szCs w:val="20"/>
          <w:color w:val="auto"/>
        </w:rPr>
      </w:pPr>
      <w:r>
        <w:rPr>
          <w:rFonts w:ascii="Times New Roman" w:cs="Times New Roman" w:eastAsia="Times New Roman" w:hAnsi="Times New Roman"/>
          <w:sz w:val="18"/>
          <w:szCs w:val="18"/>
          <w:color w:val="auto"/>
        </w:rPr>
        <w:t>These costs were partially offset mainly by interest income of €0.9 million related to the invested proceeds from our U.S. initial public offering and listing on Nasdaq.</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79" w:lineRule="exact"/>
        <w:rPr>
          <w:sz w:val="20"/>
          <w:szCs w:val="20"/>
          <w:color w:val="auto"/>
        </w:rPr>
      </w:pPr>
    </w:p>
    <w:p>
      <w:pPr>
        <w:ind w:left="300" w:right="319" w:firstLine="441"/>
        <w:spacing w:after="0" w:line="237" w:lineRule="auto"/>
        <w:rPr>
          <w:sz w:val="20"/>
          <w:szCs w:val="20"/>
          <w:color w:val="auto"/>
        </w:rPr>
      </w:pPr>
      <w:r>
        <w:rPr>
          <w:rFonts w:ascii="Times New Roman" w:cs="Times New Roman" w:eastAsia="Times New Roman" w:hAnsi="Times New Roman"/>
          <w:sz w:val="18"/>
          <w:szCs w:val="18"/>
          <w:color w:val="auto"/>
        </w:rPr>
        <w:t>For the three months ended March 31, 2026, our deferred income tax charge was €0.2 million, as compared to €— for the three months ended March 31, 2025.</w:t>
      </w:r>
    </w:p>
    <w:p>
      <w:pPr>
        <w:spacing w:after="0" w:line="64" w:lineRule="exact"/>
        <w:rPr>
          <w:sz w:val="20"/>
          <w:szCs w:val="20"/>
          <w:color w:val="auto"/>
        </w:rPr>
      </w:pPr>
    </w:p>
    <w:p>
      <w:pPr>
        <w:ind w:left="300" w:right="339" w:firstLine="441"/>
        <w:spacing w:after="0" w:line="226" w:lineRule="auto"/>
        <w:rPr>
          <w:sz w:val="20"/>
          <w:szCs w:val="20"/>
          <w:color w:val="auto"/>
        </w:rPr>
      </w:pPr>
      <w:r>
        <w:rPr>
          <w:rFonts w:ascii="Times New Roman" w:cs="Times New Roman" w:eastAsia="Times New Roman" w:hAnsi="Times New Roman"/>
          <w:sz w:val="18"/>
          <w:szCs w:val="18"/>
          <w:color w:val="auto"/>
        </w:rPr>
        <w:t>This increase is attributable to the €0.2 million change in our net deferred tax liability of €6.1 million recognized in our unaudited interim condensed consolidated statements of financial position accompanying this quarterly report as of March 31, 2026.</w:t>
      </w:r>
    </w:p>
    <w:p>
      <w:pPr>
        <w:spacing w:after="0" w:line="63" w:lineRule="exact"/>
        <w:rPr>
          <w:sz w:val="20"/>
          <w:szCs w:val="20"/>
          <w:color w:val="auto"/>
        </w:rPr>
      </w:pPr>
    </w:p>
    <w:p>
      <w:pPr>
        <w:ind w:left="300" w:right="479" w:firstLine="441"/>
        <w:spacing w:after="0" w:line="216" w:lineRule="auto"/>
        <w:rPr>
          <w:sz w:val="20"/>
          <w:szCs w:val="20"/>
          <w:color w:val="auto"/>
        </w:rPr>
      </w:pPr>
      <w:r>
        <w:rPr>
          <w:rFonts w:ascii="Times New Roman" w:cs="Times New Roman" w:eastAsia="Times New Roman" w:hAnsi="Times New Roman"/>
          <w:sz w:val="18"/>
          <w:szCs w:val="18"/>
          <w:color w:val="auto"/>
        </w:rPr>
        <w:t>The deferred tax liability resulted from the significant taxable temporary difference arising from our royalty certificates as of March 31, 2026, which in turn resulted from the difference between (i) the amount already deductible from our taxable income as of March 31, 2026 (based on the certificates' fair value minus their</w:t>
      </w:r>
    </w:p>
    <w:p>
      <w:pPr>
        <w:spacing w:after="0" w:line="1" w:lineRule="exact"/>
        <w:rPr>
          <w:sz w:val="20"/>
          <w:szCs w:val="20"/>
          <w:color w:val="auto"/>
        </w:rPr>
      </w:pPr>
    </w:p>
    <w:p>
      <w:pPr>
        <w:ind w:left="300" w:right="319"/>
        <w:spacing w:after="0" w:line="226" w:lineRule="auto"/>
        <w:rPr>
          <w:sz w:val="20"/>
          <w:szCs w:val="20"/>
          <w:color w:val="auto"/>
        </w:rPr>
      </w:pPr>
      <w:r>
        <w:rPr>
          <w:rFonts w:ascii="Times New Roman" w:cs="Times New Roman" w:eastAsia="Times New Roman" w:hAnsi="Times New Roman"/>
          <w:sz w:val="18"/>
          <w:szCs w:val="18"/>
          <w:color w:val="auto"/>
        </w:rPr>
        <w:t>subscription price) and ( ii) the amount of the related financial liability recognized in our condensed consolidated statements of financial position at that date (measured at amortized cost using the original effective interest rate).</w:t>
      </w:r>
    </w:p>
    <w:p>
      <w:pPr>
        <w:spacing w:after="0" w:line="49" w:lineRule="exact"/>
        <w:rPr>
          <w:sz w:val="20"/>
          <w:szCs w:val="20"/>
          <w:color w:val="auto"/>
        </w:rPr>
      </w:pPr>
    </w:p>
    <w:p>
      <w:pPr>
        <w:ind w:left="300" w:right="699" w:firstLine="441"/>
        <w:spacing w:after="0" w:line="250" w:lineRule="auto"/>
        <w:rPr>
          <w:sz w:val="20"/>
          <w:szCs w:val="20"/>
          <w:color w:val="auto"/>
        </w:rPr>
      </w:pPr>
      <w:r>
        <w:rPr>
          <w:rFonts w:ascii="Times New Roman" w:cs="Times New Roman" w:eastAsia="Times New Roman" w:hAnsi="Times New Roman"/>
          <w:sz w:val="18"/>
          <w:szCs w:val="18"/>
          <w:color w:val="auto"/>
        </w:rPr>
        <w:t>Further explanation on the calculation of the deferred tax liability is disclosed in Note 22 to our financial statements as of and for the three months ended March 31, 2026 included in this quarterly report.</w:t>
      </w:r>
    </w:p>
    <w:p>
      <w:pPr>
        <w:spacing w:after="0" w:line="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deferred tax expense is non-cash for the three months ended March 31, 2026.</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94" w:lineRule="exact"/>
        <w:rPr>
          <w:sz w:val="20"/>
          <w:szCs w:val="20"/>
          <w:color w:val="auto"/>
        </w:rPr>
      </w:pPr>
    </w:p>
    <w:p>
      <w:pPr>
        <w:ind w:left="300" w:right="299" w:firstLine="441"/>
        <w:spacing w:after="0" w:line="215" w:lineRule="auto"/>
        <w:rPr>
          <w:sz w:val="20"/>
          <w:szCs w:val="20"/>
          <w:color w:val="auto"/>
        </w:rPr>
      </w:pPr>
      <w:r>
        <w:rPr>
          <w:rFonts w:ascii="Times New Roman" w:cs="Times New Roman" w:eastAsia="Times New Roman" w:hAnsi="Times New Roman"/>
          <w:sz w:val="18"/>
          <w:szCs w:val="18"/>
          <w:color w:val="auto"/>
        </w:rPr>
        <w:t>For the three months ended March 31, 2026, our net loss was €48.5 million, as compared to €52.4 million for the three months ended March 31, 2025 , a decrease of €3.9 million , or (7)%, mainly driven by an increase in</w:t>
      </w:r>
    </w:p>
    <w:p>
      <w:pPr>
        <w:ind w:left="300"/>
        <w:spacing w:after="0" w:line="232" w:lineRule="auto"/>
        <w:tabs>
          <w:tab w:leader="none" w:pos="7500" w:val="left"/>
        </w:tabs>
        <w:rPr>
          <w:sz w:val="20"/>
          <w:szCs w:val="20"/>
          <w:color w:val="auto"/>
        </w:rPr>
      </w:pPr>
      <w:r>
        <w:rPr>
          <w:rFonts w:ascii="Times New Roman" w:cs="Times New Roman" w:eastAsia="Times New Roman" w:hAnsi="Times New Roman"/>
          <w:sz w:val="18"/>
          <w:szCs w:val="18"/>
          <w:color w:val="auto"/>
        </w:rPr>
        <w:t>financial income of €13.2 million and partially offset by an increase in operating expenses of</w:t>
      </w:r>
      <w:r>
        <w:rPr>
          <w:sz w:val="20"/>
          <w:szCs w:val="20"/>
          <w:color w:val="auto"/>
        </w:rPr>
        <w:tab/>
      </w:r>
      <w:r>
        <w:rPr>
          <w:rFonts w:ascii="Times New Roman" w:cs="Times New Roman" w:eastAsia="Times New Roman" w:hAnsi="Times New Roman"/>
          <w:sz w:val="17"/>
          <w:szCs w:val="17"/>
          <w:color w:val="auto"/>
        </w:rPr>
        <w:t>€9.0 million , as</w:t>
      </w:r>
    </w:p>
    <w:p>
      <w:pPr>
        <w:ind w:left="300"/>
        <w:spacing w:after="0"/>
        <w:rPr>
          <w:sz w:val="20"/>
          <w:szCs w:val="20"/>
          <w:color w:val="auto"/>
        </w:rPr>
      </w:pPr>
      <w:r>
        <w:rPr>
          <w:rFonts w:ascii="Times New Roman" w:cs="Times New Roman" w:eastAsia="Times New Roman" w:hAnsi="Times New Roman"/>
          <w:sz w:val="18"/>
          <w:szCs w:val="18"/>
          <w:color w:val="auto"/>
        </w:rPr>
        <w:t>described above.</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81" w:lineRule="exact"/>
        <w:rPr>
          <w:sz w:val="20"/>
          <w:szCs w:val="20"/>
          <w:color w:val="auto"/>
        </w:rPr>
      </w:pPr>
    </w:p>
    <w:p>
      <w:pPr>
        <w:ind w:left="740"/>
        <w:spacing w:after="0"/>
        <w:tabs>
          <w:tab w:leader="none" w:pos="3000" w:val="left"/>
        </w:tabs>
        <w:rPr>
          <w:sz w:val="20"/>
          <w:szCs w:val="20"/>
          <w:color w:val="auto"/>
        </w:rPr>
      </w:pPr>
      <w:r>
        <w:rPr>
          <w:rFonts w:ascii="Times New Roman" w:cs="Times New Roman" w:eastAsia="Times New Roman" w:hAnsi="Times New Roman"/>
          <w:sz w:val="18"/>
          <w:szCs w:val="18"/>
          <w:color w:val="auto"/>
        </w:rPr>
        <w:t>We have incurred substantial</w:t>
      </w:r>
      <w:r>
        <w:rPr>
          <w:sz w:val="20"/>
          <w:szCs w:val="20"/>
          <w:color w:val="auto"/>
        </w:rPr>
        <w:tab/>
      </w:r>
      <w:r>
        <w:rPr>
          <w:rFonts w:ascii="Times New Roman" w:cs="Times New Roman" w:eastAsia="Times New Roman" w:hAnsi="Times New Roman"/>
          <w:sz w:val="17"/>
          <w:szCs w:val="17"/>
          <w:color w:val="auto"/>
        </w:rPr>
        <w:t>operating losses since inception and expect to continue to incur significant</w:t>
      </w:r>
    </w:p>
    <w:p>
      <w:pPr>
        <w:spacing w:after="0" w:line="2" w:lineRule="exact"/>
        <w:rPr>
          <w:sz w:val="20"/>
          <w:szCs w:val="20"/>
          <w:color w:val="auto"/>
        </w:rPr>
      </w:pPr>
    </w:p>
    <w:p>
      <w:pPr>
        <w:ind w:left="300" w:right="319"/>
        <w:spacing w:after="0" w:line="218" w:lineRule="auto"/>
        <w:rPr>
          <w:sz w:val="20"/>
          <w:szCs w:val="20"/>
          <w:color w:val="auto"/>
        </w:rPr>
      </w:pPr>
      <w:r>
        <w:rPr>
          <w:rFonts w:ascii="Times New Roman" w:cs="Times New Roman" w:eastAsia="Times New Roman" w:hAnsi="Times New Roman"/>
          <w:sz w:val="18"/>
          <w:szCs w:val="18"/>
          <w:color w:val="auto"/>
        </w:rPr>
        <w:t xml:space="preserve">operating losses for the foreseeable future and may never become profitable. For the three-month periods ended March 31, 2025 and 2026, we reported net losses of €52.4 million and €48.5 million, respectively. As of December 31, 2025, we carried forward accumulated tax losses of </w:t>
      </w:r>
      <w:r>
        <w:rPr>
          <w:rFonts w:ascii="Times New Roman" w:cs="Times New Roman" w:eastAsia="Times New Roman" w:hAnsi="Times New Roman"/>
          <w:sz w:val="18"/>
          <w:szCs w:val="18"/>
          <w:color w:val="auto"/>
          <w:highlight w:val="white"/>
        </w:rPr>
        <w:t>€912.9 million.</w:t>
      </w:r>
    </w:p>
    <w:p>
      <w:pPr>
        <w:spacing w:after="0" w:line="64" w:lineRule="exact"/>
        <w:rPr>
          <w:sz w:val="20"/>
          <w:szCs w:val="20"/>
          <w:color w:val="auto"/>
        </w:rPr>
      </w:pPr>
    </w:p>
    <w:p>
      <w:pPr>
        <w:jc w:val="both"/>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Since inception, we have financed our operations through the issuance of ordinary shares with gross aggregate proceeds of €1,194.7 million, of which €130.0 million of gross proceeds were from offerings of our ordinary shares on Euronext Paris in February 2023, €223.3 million of gross proceeds were from offering of our ordinary shares in</w:t>
      </w:r>
    </w:p>
    <w:p>
      <w:pPr>
        <w:ind w:left="300" w:right="299"/>
        <w:spacing w:after="0" w:line="208" w:lineRule="auto"/>
        <w:rPr>
          <w:sz w:val="20"/>
          <w:szCs w:val="20"/>
          <w:color w:val="auto"/>
        </w:rPr>
      </w:pPr>
      <w:r>
        <w:rPr>
          <w:rFonts w:ascii="Times New Roman" w:cs="Times New Roman" w:eastAsia="Times New Roman" w:hAnsi="Times New Roman"/>
          <w:sz w:val="18"/>
          <w:szCs w:val="18"/>
          <w:color w:val="auto"/>
        </w:rPr>
        <w:t>the form of ADS on the Nasdaq Global Market in our U.S. initial public offering as well as ordinary shares in Europe (including France) and countries outside of the United States in a private placement in October 2023, €637.5 million of gross proceeds were from the offering of our ordinary shares in the form of ADS on the Nasdaq Global</w:t>
      </w:r>
    </w:p>
    <w:p>
      <w:pPr>
        <w:spacing w:after="0" w:line="2" w:lineRule="exact"/>
        <w:rPr>
          <w:sz w:val="20"/>
          <w:szCs w:val="20"/>
          <w:color w:val="auto"/>
        </w:rPr>
      </w:pPr>
    </w:p>
    <w:p>
      <w:pPr>
        <w:ind w:left="300" w:right="419"/>
        <w:spacing w:after="0" w:line="218" w:lineRule="auto"/>
        <w:rPr>
          <w:sz w:val="20"/>
          <w:szCs w:val="20"/>
          <w:color w:val="auto"/>
        </w:rPr>
      </w:pPr>
      <w:r>
        <w:rPr>
          <w:rFonts w:ascii="Times New Roman" w:cs="Times New Roman" w:eastAsia="Times New Roman" w:hAnsi="Times New Roman"/>
          <w:sz w:val="18"/>
          <w:szCs w:val="18"/>
          <w:color w:val="auto"/>
        </w:rPr>
        <w:t>Market in July 2025, bank borrowings and structured loans of €175.0 million, reimbursements of CIR in an amount of €41.2 million , subsidies received from Bpifrance (including €21.3 million of subsidies and €1.8 million of conditional advances) and royalty certificates in an amount of €2.9 million.</w:t>
      </w:r>
    </w:p>
    <w:p>
      <w:pPr>
        <w:spacing w:after="0" w:line="64" w:lineRule="exact"/>
        <w:rPr>
          <w:sz w:val="20"/>
          <w:szCs w:val="20"/>
          <w:color w:val="auto"/>
        </w:rPr>
      </w:pPr>
    </w:p>
    <w:p>
      <w:pPr>
        <w:ind w:left="300" w:right="299" w:firstLine="441"/>
        <w:spacing w:after="0" w:line="229" w:lineRule="auto"/>
        <w:rPr>
          <w:sz w:val="20"/>
          <w:szCs w:val="20"/>
          <w:color w:val="auto"/>
        </w:rPr>
      </w:pPr>
      <w:r>
        <w:rPr>
          <w:rFonts w:ascii="Times New Roman" w:cs="Times New Roman" w:eastAsia="Times New Roman" w:hAnsi="Times New Roman"/>
          <w:sz w:val="17"/>
          <w:szCs w:val="17"/>
          <w:color w:val="auto"/>
        </w:rPr>
        <w:t>In addition, on November 19, 2024, we entered into an equity distribution agreement with Piper Sandler &amp; Co. ("Piper Sandler") allowing us to issue and sell from time to time, in one or more "at the market" offerings through Piper Sandler acting as sales agent, ordinary shares in the form of ADSs, each ADS representing one ordinary share,</w:t>
      </w:r>
    </w:p>
    <w:p>
      <w:pPr>
        <w:ind w:left="300"/>
        <w:spacing w:after="0" w:line="215" w:lineRule="auto"/>
        <w:rPr>
          <w:sz w:val="20"/>
          <w:szCs w:val="20"/>
          <w:color w:val="auto"/>
        </w:rPr>
      </w:pPr>
      <w:r>
        <w:rPr>
          <w:rFonts w:ascii="Times New Roman" w:cs="Times New Roman" w:eastAsia="Times New Roman" w:hAnsi="Times New Roman"/>
          <w:sz w:val="17"/>
          <w:szCs w:val="17"/>
          <w:color w:val="auto"/>
        </w:rPr>
        <w:t>nominal value of €0.01 per share, with aggregate gross sales proceeds of up to $150.0 million (the "ATM Program").</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date, we have not sold any ADSs pursuant to the ATM Program.</w:t>
      </w:r>
    </w:p>
    <w:p>
      <w:pPr>
        <w:spacing w:after="0" w:line="57" w:lineRule="exact"/>
        <w:rPr>
          <w:sz w:val="20"/>
          <w:szCs w:val="20"/>
          <w:color w:val="auto"/>
        </w:rPr>
      </w:pPr>
    </w:p>
    <w:p>
      <w:pPr>
        <w:ind w:left="740"/>
        <w:spacing w:after="0"/>
        <w:tabs>
          <w:tab w:leader="none" w:pos="7160" w:val="left"/>
        </w:tabs>
        <w:rPr>
          <w:sz w:val="20"/>
          <w:szCs w:val="20"/>
          <w:color w:val="auto"/>
        </w:rPr>
      </w:pPr>
      <w:r>
        <w:rPr>
          <w:rFonts w:ascii="Times New Roman" w:cs="Times New Roman" w:eastAsia="Times New Roman" w:hAnsi="Times New Roman"/>
          <w:sz w:val="18"/>
          <w:szCs w:val="18"/>
          <w:color w:val="auto"/>
        </w:rPr>
        <w:t>Based on our existing cash and cash equivalents and other short-term investments of</w:t>
      </w:r>
      <w:r>
        <w:rPr>
          <w:sz w:val="20"/>
          <w:szCs w:val="20"/>
          <w:color w:val="auto"/>
        </w:rPr>
        <w:tab/>
      </w:r>
      <w:r>
        <w:rPr>
          <w:rFonts w:ascii="Times New Roman" w:cs="Times New Roman" w:eastAsia="Times New Roman" w:hAnsi="Times New Roman"/>
          <w:sz w:val="18"/>
          <w:szCs w:val="18"/>
          <w:color w:val="auto"/>
        </w:rPr>
        <w:t>€491.6 million as of</w:t>
      </w:r>
    </w:p>
    <w:p>
      <w:pPr>
        <w:spacing w:after="0" w:line="2" w:lineRule="exact"/>
        <w:rPr>
          <w:sz w:val="20"/>
          <w:szCs w:val="20"/>
          <w:color w:val="auto"/>
        </w:rPr>
      </w:pPr>
    </w:p>
    <w:p>
      <w:pPr>
        <w:ind w:left="300" w:right="299"/>
        <w:spacing w:after="0" w:line="208" w:lineRule="auto"/>
        <w:rPr>
          <w:sz w:val="20"/>
          <w:szCs w:val="20"/>
          <w:color w:val="auto"/>
        </w:rPr>
      </w:pPr>
      <w:r>
        <w:rPr>
          <w:rFonts w:ascii="Times New Roman" w:cs="Times New Roman" w:eastAsia="Times New Roman" w:hAnsi="Times New Roman"/>
          <w:sz w:val="18"/>
          <w:szCs w:val="18"/>
          <w:color w:val="auto"/>
        </w:rPr>
        <w:t>March 31, 2026 , we expect, as of the date of issuance of the unaudited interim condensed consolidated financial statements included in this quarterly report, to be able to fund our forecasted cash flow requirements into the fourth quarter of 2027, allowing us to reach 12 months of expected cash runway following the planned NDA submission of</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obefazimod for UC, assuming positive results from our Phase 3 maintenance trial. Our forecasted cash flow requirements take into account the repurchase and cancellation of our royalty certificates in May 2026, our assumption of continued R&amp;D expenditure related to the continuation of the Phase 3 clinical trials of obefazimod in</w:t>
      </w:r>
    </w:p>
    <w:p>
      <w:pPr>
        <w:spacing w:after="0" w:line="2" w:lineRule="exact"/>
        <w:rPr>
          <w:sz w:val="20"/>
          <w:szCs w:val="20"/>
          <w:color w:val="auto"/>
        </w:rPr>
      </w:pPr>
    </w:p>
    <w:p>
      <w:pPr>
        <w:ind w:left="300" w:right="899"/>
        <w:spacing w:after="0" w:line="226" w:lineRule="auto"/>
        <w:rPr>
          <w:sz w:val="20"/>
          <w:szCs w:val="20"/>
          <w:color w:val="auto"/>
        </w:rPr>
      </w:pPr>
      <w:r>
        <w:rPr>
          <w:rFonts w:ascii="Times New Roman" w:cs="Times New Roman" w:eastAsia="Times New Roman" w:hAnsi="Times New Roman"/>
          <w:sz w:val="18"/>
          <w:szCs w:val="18"/>
          <w:color w:val="auto"/>
        </w:rPr>
        <w:t>UC, progression of the Phase 2b clinical trials for CD and the initial stages of the scale up of the commercial organization as we prepare for a potential launch of obefazimod in UC.</w:t>
      </w:r>
    </w:p>
    <w:p>
      <w:pPr>
        <w:spacing w:after="0" w:line="49" w:lineRule="exact"/>
        <w:rPr>
          <w:sz w:val="20"/>
          <w:szCs w:val="20"/>
          <w:color w:val="auto"/>
        </w:rPr>
      </w:pPr>
    </w:p>
    <w:p>
      <w:pPr>
        <w:ind w:left="300" w:right="439" w:firstLine="441"/>
        <w:spacing w:after="0" w:line="279" w:lineRule="auto"/>
        <w:rPr>
          <w:sz w:val="20"/>
          <w:szCs w:val="20"/>
          <w:color w:val="auto"/>
        </w:rPr>
      </w:pPr>
      <w:r>
        <w:rPr>
          <w:rFonts w:ascii="Times New Roman" w:cs="Times New Roman" w:eastAsia="Times New Roman" w:hAnsi="Times New Roman"/>
          <w:sz w:val="17"/>
          <w:szCs w:val="17"/>
          <w:color w:val="auto"/>
        </w:rPr>
        <w:t>Based on the above, management has concluded that our existing cash, cash equivalents and other short-term investments are sufficient to fund our operating and capital expenditure requirements for a period greater than 12</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1440" w:right="1440" w:bottom="1440" w:gutter="0" w:footer="0" w:header="0"/>
          <w:type w:val="continuous"/>
        </w:sectPr>
      </w:pPr>
    </w:p>
    <w:bookmarkStart w:id="13" w:name="page14"/>
    <w:bookmarkEnd w:id="13"/>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right="1219"/>
        <w:spacing w:after="0" w:line="237" w:lineRule="auto"/>
        <w:rPr>
          <w:sz w:val="20"/>
          <w:szCs w:val="20"/>
          <w:color w:val="auto"/>
        </w:rPr>
      </w:pPr>
      <w:r>
        <w:rPr>
          <w:rFonts w:ascii="Times New Roman" w:cs="Times New Roman" w:eastAsia="Times New Roman" w:hAnsi="Times New Roman"/>
          <w:sz w:val="18"/>
          <w:szCs w:val="18"/>
          <w:color w:val="auto"/>
        </w:rPr>
        <w:t>months from the date of issuance of the financial statements accompanying this quarterly report, and the accompanying financial statements have been prepared on a going concern basis.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 Increases</w:t>
      </w:r>
    </w:p>
    <w:p>
      <w:pPr>
        <w:spacing w:after="0" w:line="189" w:lineRule="exact"/>
        <w:rPr>
          <w:sz w:val="20"/>
          <w:szCs w:val="20"/>
          <w:color w:val="auto"/>
        </w:rPr>
      </w:pPr>
    </w:p>
    <w:p>
      <w:pPr>
        <w:ind w:left="300" w:right="679" w:firstLine="441"/>
        <w:spacing w:after="0" w:line="263" w:lineRule="auto"/>
        <w:rPr>
          <w:sz w:val="20"/>
          <w:szCs w:val="20"/>
          <w:color w:val="auto"/>
        </w:rPr>
      </w:pPr>
      <w:r>
        <w:rPr>
          <w:rFonts w:ascii="Times New Roman" w:cs="Times New Roman" w:eastAsia="Times New Roman" w:hAnsi="Times New Roman"/>
          <w:sz w:val="17"/>
          <w:szCs w:val="17"/>
          <w:color w:val="auto"/>
        </w:rPr>
        <w:t>On July 28, 2025, we received gross proceeds of €637.5 million from the issuance of 11,679,400 ordinary shares in the form of ADSs, at a price of $64.00 per share (corresponding to €54.58 per ordinary share).</w:t>
      </w:r>
    </w:p>
    <w:p>
      <w:pPr>
        <w:spacing w:after="0" w:line="44" w:lineRule="exact"/>
        <w:rPr>
          <w:sz w:val="20"/>
          <w:szCs w:val="20"/>
          <w:color w:val="auto"/>
        </w:rPr>
      </w:pPr>
    </w:p>
    <w:p>
      <w:pPr>
        <w:ind w:left="300" w:right="399" w:firstLine="441"/>
        <w:spacing w:after="0" w:line="239" w:lineRule="auto"/>
        <w:rPr>
          <w:sz w:val="20"/>
          <w:szCs w:val="20"/>
          <w:color w:val="auto"/>
        </w:rPr>
      </w:pPr>
      <w:r>
        <w:rPr>
          <w:rFonts w:ascii="Times New Roman" w:cs="Times New Roman" w:eastAsia="Times New Roman" w:hAnsi="Times New Roman"/>
          <w:sz w:val="17"/>
          <w:szCs w:val="17"/>
          <w:color w:val="auto"/>
        </w:rPr>
        <w:t>On May 7, 2026, as part of the settlement of the repurchase of our royalty certificates, we issued 403,347 ordinary shares in the form of ADSs to the benefit of the holders of our royalty certificates, at an offering price of $111.57 per share (corresponding to €95.34 per ordinary share), representing an aggregate amount of €38.5 million.</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Research Tax Credits</w:t>
      </w:r>
    </w:p>
    <w:p>
      <w:pPr>
        <w:spacing w:after="0" w:line="81" w:lineRule="exact"/>
        <w:rPr>
          <w:sz w:val="20"/>
          <w:szCs w:val="20"/>
          <w:color w:val="auto"/>
        </w:rPr>
      </w:pPr>
    </w:p>
    <w:p>
      <w:pPr>
        <w:jc w:val="both"/>
        <w:ind w:left="300" w:right="299" w:firstLine="441"/>
        <w:spacing w:after="0" w:line="237" w:lineRule="auto"/>
        <w:rPr>
          <w:sz w:val="20"/>
          <w:szCs w:val="20"/>
          <w:color w:val="auto"/>
        </w:rPr>
      </w:pPr>
      <w:r>
        <w:rPr>
          <w:rFonts w:ascii="Times New Roman" w:cs="Times New Roman" w:eastAsia="Times New Roman" w:hAnsi="Times New Roman"/>
          <w:sz w:val="18"/>
          <w:szCs w:val="18"/>
          <w:color w:val="auto"/>
        </w:rPr>
        <w:t>From our inception to March 31, 2026 , we have benefited from refunds of CIRs in a total amount of €41.2 million.</w:t>
      </w:r>
    </w:p>
    <w:p>
      <w:pPr>
        <w:spacing w:after="0" w:line="64" w:lineRule="exact"/>
        <w:rPr>
          <w:sz w:val="20"/>
          <w:szCs w:val="20"/>
          <w:color w:val="auto"/>
        </w:rPr>
      </w:pPr>
    </w:p>
    <w:p>
      <w:pPr>
        <w:ind w:left="300" w:right="379" w:firstLine="441"/>
        <w:spacing w:after="0" w:line="237" w:lineRule="auto"/>
        <w:rPr>
          <w:sz w:val="20"/>
          <w:szCs w:val="20"/>
          <w:color w:val="auto"/>
        </w:rPr>
      </w:pPr>
      <w:r>
        <w:rPr>
          <w:rFonts w:ascii="Times New Roman" w:cs="Times New Roman" w:eastAsia="Times New Roman" w:hAnsi="Times New Roman"/>
          <w:sz w:val="18"/>
          <w:szCs w:val="18"/>
          <w:color w:val="auto"/>
        </w:rPr>
        <w:t>We currently expect to receive CIRs of €3.2 million with respect to the year ended December 31, 2025 in the second half of 2026.</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June 2025, we received CIRs of €5.7 million with respect to the year ended December 31, 2024.</w:t>
      </w:r>
    </w:p>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For a description of material financing agreements, see "Item 10.C. Material Contracts" of the Company’s</w:t>
      </w:r>
    </w:p>
    <w:p>
      <w:pPr>
        <w:ind w:left="300"/>
        <w:spacing w:after="0"/>
        <w:rPr>
          <w:sz w:val="20"/>
          <w:szCs w:val="20"/>
          <w:color w:val="auto"/>
        </w:rPr>
      </w:pPr>
      <w:r>
        <w:rPr>
          <w:rFonts w:ascii="Times New Roman" w:cs="Times New Roman" w:eastAsia="Times New Roman" w:hAnsi="Times New Roman"/>
          <w:sz w:val="18"/>
          <w:szCs w:val="18"/>
          <w:color w:val="auto"/>
        </w:rPr>
        <w:t>2025 Annual Report on Form 20-F.</w:t>
      </w:r>
    </w:p>
    <w:p>
      <w:pPr>
        <w:spacing w:after="0" w:line="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During the three-month period ended March 31, 2026, we did not enter into any new financing agreements.</w:t>
      </w:r>
    </w:p>
    <w:p>
      <w:pPr>
        <w:spacing w:after="0" w:line="77" w:lineRule="exact"/>
        <w:rPr>
          <w:sz w:val="20"/>
          <w:szCs w:val="20"/>
          <w:color w:val="auto"/>
        </w:rPr>
      </w:pPr>
    </w:p>
    <w:p>
      <w:pPr>
        <w:ind w:left="300" w:right="579" w:firstLine="441"/>
        <w:spacing w:after="0" w:line="236" w:lineRule="auto"/>
        <w:rPr>
          <w:sz w:val="20"/>
          <w:szCs w:val="20"/>
          <w:color w:val="auto"/>
        </w:rPr>
      </w:pPr>
      <w:r>
        <w:rPr>
          <w:rFonts w:ascii="Times New Roman" w:cs="Times New Roman" w:eastAsia="Times New Roman" w:hAnsi="Times New Roman"/>
          <w:sz w:val="17"/>
          <w:szCs w:val="17"/>
          <w:color w:val="auto"/>
        </w:rPr>
        <w:t>In connection with the repurchase of our royalty certificates in May 2026, we were granted an interest-free vendor’s loan ("crédit vendeur") in a total amount equal to $45 million, which was reinvested in our securities by</w:t>
      </w:r>
    </w:p>
    <w:p>
      <w:pPr>
        <w:jc w:val="both"/>
        <w:ind w:left="300" w:right="319"/>
        <w:spacing w:after="0" w:line="220" w:lineRule="auto"/>
        <w:rPr>
          <w:sz w:val="20"/>
          <w:szCs w:val="20"/>
          <w:color w:val="auto"/>
        </w:rPr>
      </w:pPr>
      <w:r>
        <w:rPr>
          <w:rFonts w:ascii="Times New Roman" w:cs="Times New Roman" w:eastAsia="Times New Roman" w:hAnsi="Times New Roman"/>
          <w:sz w:val="17"/>
          <w:szCs w:val="17"/>
          <w:color w:val="auto"/>
        </w:rPr>
        <w:t>way of set off against the subscription price of 403,347 ordinary shares in the form of ADSs issued to the benefit of the royalty certificate holders, at an offering price of $111.57 per ADS (corresponding to €95.34 per ordinary share). The set-off and the corresponding issuance and delivery of the ADSs to the holders occurred on May 7, 2026. The</w:t>
      </w:r>
    </w:p>
    <w:p>
      <w:pPr>
        <w:spacing w:after="0" w:line="2" w:lineRule="exact"/>
        <w:rPr>
          <w:sz w:val="20"/>
          <w:szCs w:val="20"/>
          <w:color w:val="auto"/>
        </w:rPr>
      </w:pPr>
    </w:p>
    <w:p>
      <w:pPr>
        <w:ind w:left="300" w:right="439"/>
        <w:spacing w:after="0" w:line="226" w:lineRule="auto"/>
        <w:rPr>
          <w:sz w:val="20"/>
          <w:szCs w:val="20"/>
          <w:color w:val="auto"/>
        </w:rPr>
      </w:pPr>
      <w:r>
        <w:rPr>
          <w:rFonts w:ascii="Times New Roman" w:cs="Times New Roman" w:eastAsia="Times New Roman" w:hAnsi="Times New Roman"/>
          <w:sz w:val="18"/>
          <w:szCs w:val="18"/>
          <w:color w:val="auto"/>
        </w:rPr>
        <w:t>vendor's loan was fully extinguished at that date. The royalty certificates were immediately cancelled following the transaction.</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Historical Changes in Cash Flows</w:t>
      </w:r>
    </w:p>
    <w:p>
      <w:pPr>
        <w:spacing w:after="0" w:line="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sets forth our cash inflows and outflows for the three-month periods ended March 31,</w:t>
      </w:r>
    </w:p>
    <w:p>
      <w:pPr>
        <w:ind w:left="300"/>
        <w:spacing w:after="0"/>
        <w:rPr>
          <w:sz w:val="20"/>
          <w:szCs w:val="20"/>
          <w:color w:val="auto"/>
        </w:rPr>
      </w:pPr>
      <w:r>
        <w:rPr>
          <w:rFonts w:ascii="Times New Roman" w:cs="Times New Roman" w:eastAsia="Times New Roman" w:hAnsi="Times New Roman"/>
          <w:sz w:val="18"/>
          <w:szCs w:val="18"/>
          <w:color w:val="auto"/>
        </w:rPr>
        <w:t>2025 and 2026.</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81"/>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euros)</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3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6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1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96"/>
        </w:trPr>
        <w:tc>
          <w:tcPr>
            <w:tcW w:w="468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6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xml:space="preserve">Net cash flows (used in) operating activities </w:t>
            </w:r>
            <w:r>
              <w:rPr>
                <w:rFonts w:ascii="Times New Roman" w:cs="Times New Roman" w:eastAsia="Times New Roman" w:hAnsi="Times New Roman"/>
                <w:sz w:val="18"/>
                <w:szCs w:val="18"/>
                <w:color w:val="B4B4B4"/>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(33,278)</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i w:val="1"/>
                <w:iCs w:val="1"/>
                <w:color w:val="auto"/>
              </w:rPr>
              <w:t>(50,519)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52 %</w:t>
            </w:r>
          </w:p>
        </w:tc>
        <w:tc>
          <w:tcPr>
            <w:tcW w:w="0" w:type="dxa"/>
            <w:vAlign w:val="bottom"/>
          </w:tcPr>
          <w:p>
            <w:pPr>
              <w:spacing w:after="0"/>
              <w:rPr>
                <w:sz w:val="1"/>
                <w:szCs w:val="1"/>
                <w:color w:val="auto"/>
              </w:rPr>
            </w:pPr>
          </w:p>
        </w:tc>
      </w:tr>
      <w:tr>
        <w:trPr>
          <w:trHeight w:val="257"/>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xml:space="preserve">Net cash flows provided by (used in) investing activities </w:t>
            </w:r>
            <w:r>
              <w:rPr>
                <w:rFonts w:ascii="Times New Roman" w:cs="Times New Roman" w:eastAsia="Times New Roman" w:hAnsi="Times New Roman"/>
                <w:sz w:val="18"/>
                <w:szCs w:val="18"/>
                <w:color w:val="B4B4B4"/>
                <w:w w:val="99"/>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1,082</w:t>
            </w: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495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 %</w:t>
            </w:r>
          </w:p>
        </w:tc>
        <w:tc>
          <w:tcPr>
            <w:tcW w:w="0" w:type="dxa"/>
            <w:vAlign w:val="bottom"/>
          </w:tcPr>
          <w:p>
            <w:pPr>
              <w:spacing w:after="0"/>
              <w:rPr>
                <w:sz w:val="1"/>
                <w:szCs w:val="1"/>
                <w:color w:val="auto"/>
              </w:rPr>
            </w:pPr>
          </w:p>
        </w:tc>
      </w:tr>
      <w:tr>
        <w:trPr>
          <w:trHeight w:val="256"/>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xml:space="preserve">Net cash flows provided by (used in) financing activities </w:t>
            </w:r>
            <w:r>
              <w:rPr>
                <w:rFonts w:ascii="Times New Roman" w:cs="Times New Roman" w:eastAsia="Times New Roman" w:hAnsi="Times New Roman"/>
                <w:sz w:val="18"/>
                <w:szCs w:val="18"/>
                <w:color w:val="B4B4B4"/>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(7,837)</w:t>
            </w: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73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0" w:type="dxa"/>
            <w:vAlign w:val="bottom"/>
          </w:tcPr>
          <w:p>
            <w:pPr>
              <w:spacing w:after="0"/>
              <w:rPr>
                <w:sz w:val="1"/>
                <w:szCs w:val="1"/>
                <w:color w:val="auto"/>
              </w:rPr>
            </w:pPr>
          </w:p>
        </w:tc>
      </w:tr>
      <w:tr>
        <w:trPr>
          <w:trHeight w:val="257"/>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Effect of movements in exchange rates on cash held</w:t>
            </w:r>
            <w:r>
              <w:rPr>
                <w:rFonts w:ascii="Times New Roman" w:cs="Times New Roman" w:eastAsia="Times New Roman" w:hAnsi="Times New Roman"/>
                <w:sz w:val="18"/>
                <w:szCs w:val="18"/>
                <w:color w:val="B4B4B4"/>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(700)</w:t>
            </w: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7,415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(1,159) %</w:t>
            </w:r>
          </w:p>
        </w:tc>
        <w:tc>
          <w:tcPr>
            <w:tcW w:w="0" w:type="dxa"/>
            <w:vAlign w:val="bottom"/>
          </w:tcPr>
          <w:p>
            <w:pPr>
              <w:spacing w:after="0"/>
              <w:rPr>
                <w:sz w:val="1"/>
                <w:szCs w:val="1"/>
                <w:color w:val="auto"/>
              </w:rPr>
            </w:pPr>
          </w:p>
        </w:tc>
      </w:tr>
      <w:tr>
        <w:trPr>
          <w:trHeight w:val="256"/>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xml:space="preserve">Revaluation of cash equivalents measured at fair value </w:t>
            </w:r>
            <w:r>
              <w:rPr>
                <w:rFonts w:ascii="Times New Roman" w:cs="Times New Roman" w:eastAsia="Times New Roman" w:hAnsi="Times New Roman"/>
                <w:sz w:val="18"/>
                <w:szCs w:val="18"/>
                <w:color w:val="B4B4B4"/>
                <w:w w:val="99"/>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88</w:t>
            </w: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3,274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3,637 %</w:t>
            </w:r>
          </w:p>
        </w:tc>
        <w:tc>
          <w:tcPr>
            <w:tcW w:w="0" w:type="dxa"/>
            <w:vAlign w:val="bottom"/>
          </w:tcPr>
          <w:p>
            <w:pPr>
              <w:spacing w:after="0"/>
              <w:rPr>
                <w:sz w:val="1"/>
                <w:szCs w:val="1"/>
                <w:color w:val="auto"/>
              </w:rPr>
            </w:pPr>
          </w:p>
        </w:tc>
      </w:tr>
      <w:tr>
        <w:trPr>
          <w:trHeight w:val="243"/>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 xml:space="preserve">Net (decrease) in cash and cash equivalents </w:t>
            </w:r>
            <w:r>
              <w:rPr>
                <w:rFonts w:ascii="Times New Roman" w:cs="Times New Roman" w:eastAsia="Times New Roman" w:hAnsi="Times New Roman"/>
                <w:sz w:val="18"/>
                <w:szCs w:val="18"/>
                <w:b w:val="1"/>
                <w:bCs w:val="1"/>
                <w:color w:val="B4B4B4"/>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(40,646)</w:t>
            </w: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(39,262)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331"/>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Cash and cash equivalents at the beginning of the period</w:t>
            </w:r>
            <w:r>
              <w:rPr>
                <w:rFonts w:ascii="Times New Roman" w:cs="Times New Roman" w:eastAsia="Times New Roman" w:hAnsi="Times New Roman"/>
                <w:sz w:val="18"/>
                <w:szCs w:val="18"/>
                <w:b w:val="1"/>
                <w:bCs w:val="1"/>
                <w:color w:val="B4B4B4"/>
                <w:w w:val="99"/>
              </w:rPr>
              <w:t>......</w:t>
            </w: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144,221</w:t>
            </w:r>
          </w:p>
        </w:tc>
        <w:tc>
          <w:tcPr>
            <w:tcW w:w="13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516,685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258 %</w:t>
            </w:r>
          </w:p>
        </w:tc>
        <w:tc>
          <w:tcPr>
            <w:tcW w:w="0" w:type="dxa"/>
            <w:vAlign w:val="bottom"/>
          </w:tcPr>
          <w:p>
            <w:pPr>
              <w:spacing w:after="0"/>
              <w:rPr>
                <w:sz w:val="1"/>
                <w:szCs w:val="1"/>
                <w:color w:val="auto"/>
              </w:rPr>
            </w:pPr>
          </w:p>
        </w:tc>
      </w:tr>
      <w:tr>
        <w:trPr>
          <w:trHeight w:val="304"/>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 xml:space="preserve">Cash and cash equivalents at the end of the period </w:t>
            </w:r>
            <w:r>
              <w:rPr>
                <w:rFonts w:ascii="Times New Roman" w:cs="Times New Roman" w:eastAsia="Times New Roman" w:hAnsi="Times New Roman"/>
                <w:sz w:val="18"/>
                <w:szCs w:val="18"/>
                <w:b w:val="1"/>
                <w:bCs w:val="1"/>
                <w:color w:val="B4B4B4"/>
                <w:w w:val="99"/>
              </w:rPr>
              <w:t>................</w:t>
            </w: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103,576</w:t>
            </w:r>
          </w:p>
        </w:tc>
        <w:tc>
          <w:tcPr>
            <w:tcW w:w="13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477,423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left="300" w:right="319" w:firstLine="441"/>
        <w:spacing w:after="0" w:line="237" w:lineRule="auto"/>
        <w:rPr>
          <w:sz w:val="20"/>
          <w:szCs w:val="20"/>
          <w:color w:val="auto"/>
        </w:rPr>
      </w:pPr>
      <w:r>
        <w:rPr>
          <w:rFonts w:ascii="Times New Roman" w:cs="Times New Roman" w:eastAsia="Times New Roman" w:hAnsi="Times New Roman"/>
          <w:sz w:val="18"/>
          <w:szCs w:val="18"/>
          <w:color w:val="auto"/>
        </w:rPr>
        <w:t>For the three months ended March 31, 2026 , cash used in operating activities was €50.5 million, as compared to €33.3 million for the three months ended March 31, 2025 , an increase of €17.2 million, or 52%. Net cash used in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19"/>
          </w:cols>
          <w:pgMar w:left="1440" w:top="1440" w:right="1440" w:bottom="1440" w:gutter="0" w:footer="0" w:header="0"/>
          <w:type w:val="continuous"/>
        </w:sectPr>
      </w:pPr>
    </w:p>
    <w:bookmarkStart w:id="14" w:name="page15"/>
    <w:bookmarkEnd w:id="14"/>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right="499"/>
        <w:spacing w:after="0" w:line="236" w:lineRule="auto"/>
        <w:rPr>
          <w:sz w:val="20"/>
          <w:szCs w:val="20"/>
          <w:color w:val="auto"/>
        </w:rPr>
      </w:pPr>
      <w:r>
        <w:rPr>
          <w:rFonts w:ascii="Times New Roman" w:cs="Times New Roman" w:eastAsia="Times New Roman" w:hAnsi="Times New Roman"/>
          <w:sz w:val="17"/>
          <w:szCs w:val="17"/>
          <w:color w:val="auto"/>
        </w:rPr>
        <w:t>operating activities for both periods was predominantly related to payments for the progression of our UC and CD trials and personnel, legal, professional and infrastructure costs associated with operating as a dual-listed public</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company. The increase was mostly driven by the increase in our operating loss (as explained above), partly offset by changes in our working capital requirements of €9.0 million for the three months ended March 31, 2025, resulting primarily from an increase in our trade payables reflecting the progress of our Phase 3 clinical trials . For the three</w:t>
      </w:r>
    </w:p>
    <w:p>
      <w:pPr>
        <w:spacing w:after="0" w:line="2" w:lineRule="exact"/>
        <w:rPr>
          <w:sz w:val="20"/>
          <w:szCs w:val="20"/>
          <w:color w:val="auto"/>
        </w:rPr>
      </w:pPr>
    </w:p>
    <w:p>
      <w:pPr>
        <w:ind w:left="300" w:right="459"/>
        <w:spacing w:after="0" w:line="226" w:lineRule="auto"/>
        <w:rPr>
          <w:sz w:val="20"/>
          <w:szCs w:val="20"/>
          <w:color w:val="auto"/>
        </w:rPr>
      </w:pPr>
      <w:r>
        <w:rPr>
          <w:rFonts w:ascii="Times New Roman" w:cs="Times New Roman" w:eastAsia="Times New Roman" w:hAnsi="Times New Roman"/>
          <w:sz w:val="18"/>
          <w:szCs w:val="18"/>
          <w:color w:val="auto"/>
        </w:rPr>
        <w:t>months ended March 31, 2026, the changes in our working capital requirements further contributed to our net cash used in operating activities for €5.0 million.</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jc w:val="both"/>
        <w:ind w:left="300" w:right="299" w:firstLine="441"/>
        <w:spacing w:after="0" w:line="226" w:lineRule="auto"/>
        <w:rPr>
          <w:sz w:val="20"/>
          <w:szCs w:val="20"/>
          <w:color w:val="auto"/>
        </w:rPr>
      </w:pPr>
      <w:r>
        <w:rPr>
          <w:rFonts w:ascii="Times New Roman" w:cs="Times New Roman" w:eastAsia="Times New Roman" w:hAnsi="Times New Roman"/>
          <w:sz w:val="18"/>
          <w:szCs w:val="18"/>
          <w:color w:val="auto"/>
        </w:rPr>
        <w:t>For the three months ended March 31, 2026 , cash provided by investing activities amounted to €0.5 million, reflecting €0.5 million of interest received on our invested proceeds from our offering on the Nasdaq Global Market in July 2025.</w:t>
      </w:r>
    </w:p>
    <w:p>
      <w:pPr>
        <w:spacing w:after="0" w:line="63" w:lineRule="exact"/>
        <w:rPr>
          <w:sz w:val="20"/>
          <w:szCs w:val="20"/>
          <w:color w:val="auto"/>
        </w:rPr>
      </w:pPr>
    </w:p>
    <w:p>
      <w:pPr>
        <w:jc w:val="both"/>
        <w:ind w:left="300" w:right="319" w:firstLine="441"/>
        <w:spacing w:after="0" w:line="226" w:lineRule="auto"/>
        <w:rPr>
          <w:sz w:val="20"/>
          <w:szCs w:val="20"/>
          <w:color w:val="auto"/>
        </w:rPr>
      </w:pPr>
      <w:r>
        <w:rPr>
          <w:rFonts w:ascii="Times New Roman" w:cs="Times New Roman" w:eastAsia="Times New Roman" w:hAnsi="Times New Roman"/>
          <w:sz w:val="18"/>
          <w:szCs w:val="18"/>
          <w:color w:val="auto"/>
        </w:rPr>
        <w:t>For the three months ended March 31, 2025 , cash provided by investing activities amounted to €1.1 million and was mainly driven by €1.0 million of interest received on our invested proceeds from our initial public offering on the Nasdaq Global Market and private placement in October 2023.</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81" w:lineRule="exact"/>
        <w:rPr>
          <w:sz w:val="20"/>
          <w:szCs w:val="20"/>
          <w:color w:val="auto"/>
        </w:rPr>
      </w:pPr>
    </w:p>
    <w:p>
      <w:pPr>
        <w:jc w:val="both"/>
        <w:ind w:left="300" w:right="319" w:firstLine="441"/>
        <w:spacing w:after="0" w:line="222" w:lineRule="auto"/>
        <w:rPr>
          <w:sz w:val="20"/>
          <w:szCs w:val="20"/>
          <w:color w:val="auto"/>
        </w:rPr>
      </w:pPr>
      <w:r>
        <w:rPr>
          <w:rFonts w:ascii="Times New Roman" w:cs="Times New Roman" w:eastAsia="Times New Roman" w:hAnsi="Times New Roman"/>
          <w:sz w:val="18"/>
          <w:szCs w:val="18"/>
          <w:color w:val="auto"/>
        </w:rPr>
        <w:t>For the three months ended March 31, 2026 , cash provided by financing activities was €0.1 million, which primarily consisted of cash received from the subscription by independent members of our board of directors of the</w:t>
      </w:r>
    </w:p>
    <w:p>
      <w:pPr>
        <w:spacing w:after="0" w:line="2" w:lineRule="exact"/>
        <w:rPr>
          <w:sz w:val="20"/>
          <w:szCs w:val="20"/>
          <w:color w:val="auto"/>
        </w:rPr>
      </w:pPr>
    </w:p>
    <w:p>
      <w:pPr>
        <w:ind w:left="300" w:right="399"/>
        <w:spacing w:after="0" w:line="226" w:lineRule="auto"/>
        <w:rPr>
          <w:sz w:val="20"/>
          <w:szCs w:val="20"/>
          <w:color w:val="auto"/>
        </w:rPr>
      </w:pPr>
      <w:r>
        <w:rPr>
          <w:rFonts w:ascii="Times New Roman" w:cs="Times New Roman" w:eastAsia="Times New Roman" w:hAnsi="Times New Roman"/>
          <w:sz w:val="18"/>
          <w:szCs w:val="18"/>
          <w:color w:val="auto"/>
        </w:rPr>
        <w:t>share warrants granted to them for €0.5 million, offset by repayments of our lease liabilities and related interests for €0.4 million.</w:t>
      </w:r>
    </w:p>
    <w:p>
      <w:pPr>
        <w:spacing w:after="0" w:line="49" w:lineRule="exact"/>
        <w:rPr>
          <w:sz w:val="20"/>
          <w:szCs w:val="20"/>
          <w:color w:val="auto"/>
        </w:rPr>
      </w:pPr>
    </w:p>
    <w:p>
      <w:pPr>
        <w:ind w:left="740"/>
        <w:spacing w:after="0"/>
        <w:tabs>
          <w:tab w:leader="none" w:pos="4100" w:val="left"/>
          <w:tab w:leader="none" w:pos="7100" w:val="left"/>
        </w:tabs>
        <w:rPr>
          <w:sz w:val="20"/>
          <w:szCs w:val="20"/>
          <w:color w:val="auto"/>
        </w:rPr>
      </w:pPr>
      <w:r>
        <w:rPr>
          <w:rFonts w:ascii="Times New Roman" w:cs="Times New Roman" w:eastAsia="Times New Roman" w:hAnsi="Times New Roman"/>
          <w:sz w:val="18"/>
          <w:szCs w:val="18"/>
          <w:color w:val="auto"/>
        </w:rPr>
        <w:t>For the three months ended March 31, 2025</w:t>
        <w:tab/>
        <w:t>, cash used in financing activities was</w:t>
      </w:r>
      <w:r>
        <w:rPr>
          <w:sz w:val="20"/>
          <w:szCs w:val="20"/>
          <w:color w:val="auto"/>
        </w:rPr>
        <w:tab/>
      </w:r>
      <w:r>
        <w:rPr>
          <w:rFonts w:ascii="Times New Roman" w:cs="Times New Roman" w:eastAsia="Times New Roman" w:hAnsi="Times New Roman"/>
          <w:sz w:val="17"/>
          <w:szCs w:val="17"/>
          <w:color w:val="auto"/>
        </w:rPr>
        <w:t>€(7.8) million , which</w:t>
      </w:r>
    </w:p>
    <w:p>
      <w:pPr>
        <w:spacing w:after="0" w:line="2" w:lineRule="exact"/>
        <w:rPr>
          <w:sz w:val="20"/>
          <w:szCs w:val="20"/>
          <w:color w:val="auto"/>
        </w:rPr>
      </w:pPr>
    </w:p>
    <w:p>
      <w:pPr>
        <w:ind w:left="300" w:right="399"/>
        <w:spacing w:after="0" w:line="231" w:lineRule="auto"/>
        <w:rPr>
          <w:sz w:val="20"/>
          <w:szCs w:val="20"/>
          <w:color w:val="auto"/>
        </w:rPr>
      </w:pPr>
      <w:r>
        <w:rPr>
          <w:rFonts w:ascii="Times New Roman" w:cs="Times New Roman" w:eastAsia="Times New Roman" w:hAnsi="Times New Roman"/>
          <w:sz w:val="17"/>
          <w:szCs w:val="17"/>
          <w:color w:val="auto"/>
        </w:rPr>
        <w:t>consisted of repayments of €6.1 million (of which €3.7 million was under tranches B and C of the Kreos / Claret Financing and €2.2 million was under the Heights convertible notes) and interest payments of €2.0 million on tranches A, B and C of the Kreos / Claret Financing (€1.6 million) and the Heights convertible notes (€0.4 million).</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Loans</w:t>
      </w:r>
    </w:p>
    <w:p>
      <w:pPr>
        <w:spacing w:after="0" w:line="81" w:lineRule="exact"/>
        <w:rPr>
          <w:sz w:val="20"/>
          <w:szCs w:val="20"/>
          <w:color w:val="auto"/>
        </w:rPr>
      </w:pPr>
    </w:p>
    <w:p>
      <w:pPr>
        <w:ind w:left="740" w:right="639"/>
        <w:spacing w:after="0" w:line="285" w:lineRule="auto"/>
        <w:rPr>
          <w:sz w:val="20"/>
          <w:szCs w:val="20"/>
          <w:color w:val="auto"/>
        </w:rPr>
      </w:pPr>
      <w:r>
        <w:rPr>
          <w:rFonts w:ascii="Times New Roman" w:cs="Times New Roman" w:eastAsia="Times New Roman" w:hAnsi="Times New Roman"/>
          <w:sz w:val="18"/>
          <w:szCs w:val="18"/>
          <w:color w:val="auto"/>
        </w:rPr>
        <w:t>The following table sets forth information about material contractual obligations as of March 31, 2026. The commitment amounts in the table below are associated with contracts that are enforceable and legally</w:t>
      </w:r>
    </w:p>
    <w:p>
      <w:pPr>
        <w:spacing w:after="0" w:line="1" w:lineRule="exact"/>
        <w:rPr>
          <w:sz w:val="20"/>
          <w:szCs w:val="20"/>
          <w:color w:val="auto"/>
        </w:rPr>
      </w:pPr>
    </w:p>
    <w:p>
      <w:pPr>
        <w:jc w:val="both"/>
        <w:ind w:left="300" w:right="499"/>
        <w:spacing w:after="0" w:line="220" w:lineRule="auto"/>
        <w:rPr>
          <w:sz w:val="20"/>
          <w:szCs w:val="20"/>
          <w:color w:val="auto"/>
        </w:rPr>
      </w:pPr>
      <w:r>
        <w:rPr>
          <w:rFonts w:ascii="Times New Roman" w:cs="Times New Roman" w:eastAsia="Times New Roman" w:hAnsi="Times New Roman"/>
          <w:sz w:val="17"/>
          <w:szCs w:val="17"/>
          <w:color w:val="auto"/>
        </w:rPr>
        <w:t>binding and that specify all significant terms, including fixed or minimum services to be used, fixed, minimum or variable price provisions, and the approximate timing of the actions under the contracts. Future events could cause actual payments to differ from these estimates. All amounts except the retirement benefits in the table below are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presented gross and are undiscounted.</w:t>
      </w:r>
    </w:p>
    <w:p>
      <w:pPr>
        <w:spacing w:after="0" w:line="226" w:lineRule="exact"/>
        <w:rPr>
          <w:sz w:val="20"/>
          <w:szCs w:val="20"/>
          <w:color w:val="auto"/>
        </w:rPr>
      </w:pPr>
    </w:p>
    <w:tbl>
      <w:tblPr>
        <w:tblLayout w:type="fixed"/>
        <w:tblInd w:w="38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9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7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8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As of March 31, 2026</w:t>
            </w:r>
          </w:p>
        </w:tc>
      </w:tr>
      <w:tr>
        <w:trPr>
          <w:trHeight w:val="203"/>
        </w:trPr>
        <w:tc>
          <w:tcPr>
            <w:tcW w:w="2780" w:type="dxa"/>
            <w:vAlign w:val="bottom"/>
          </w:tcPr>
          <w:p>
            <w:pPr>
              <w:spacing w:after="0"/>
              <w:rPr>
                <w:sz w:val="17"/>
                <w:szCs w:val="17"/>
                <w:color w:val="auto"/>
              </w:rPr>
            </w:pPr>
          </w:p>
        </w:tc>
        <w:tc>
          <w:tcPr>
            <w:tcW w:w="19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76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1840" w:type="dxa"/>
            <w:vAlign w:val="bottom"/>
          </w:tcPr>
          <w:p>
            <w:pPr>
              <w:spacing w:after="0"/>
              <w:rPr>
                <w:sz w:val="17"/>
                <w:szCs w:val="17"/>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euros)</w:t>
            </w:r>
          </w:p>
        </w:tc>
        <w:tc>
          <w:tcPr>
            <w:tcW w:w="19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76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8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w:t>
            </w:r>
            <w:r>
              <w:rPr>
                <w:rFonts w:ascii="Times New Roman" w:cs="Times New Roman" w:eastAsia="Times New Roman" w:hAnsi="Times New Roman"/>
                <w:sz w:val="18"/>
                <w:szCs w:val="18"/>
                <w:color w:val="B4B4B4"/>
              </w:rPr>
              <w:t>.................................</w:t>
            </w:r>
          </w:p>
        </w:tc>
        <w:tc>
          <w:tcPr>
            <w:tcW w:w="1960" w:type="dxa"/>
            <w:vAlign w:val="bottom"/>
          </w:tcPr>
          <w:p>
            <w:pPr>
              <w:jc w:val="right"/>
              <w:ind w:right="58"/>
              <w:spacing w:after="0"/>
              <w:rPr>
                <w:sz w:val="20"/>
                <w:szCs w:val="20"/>
                <w:color w:val="auto"/>
              </w:rPr>
            </w:pPr>
            <w:r>
              <w:rPr>
                <w:rFonts w:ascii="Times New Roman" w:cs="Times New Roman" w:eastAsia="Times New Roman" w:hAnsi="Times New Roman"/>
                <w:sz w:val="18"/>
                <w:szCs w:val="18"/>
                <w:i w:val="1"/>
                <w:iCs w:val="1"/>
                <w:color w:val="auto"/>
              </w:rPr>
              <w:t>1,127</w:t>
            </w:r>
          </w:p>
        </w:tc>
        <w:tc>
          <w:tcPr>
            <w:tcW w:w="1760" w:type="dxa"/>
            <w:vAlign w:val="bottom"/>
          </w:tcPr>
          <w:p>
            <w:pPr>
              <w:jc w:val="right"/>
              <w:ind w:right="138"/>
              <w:spacing w:after="0"/>
              <w:rPr>
                <w:sz w:val="20"/>
                <w:szCs w:val="20"/>
                <w:color w:val="auto"/>
              </w:rPr>
            </w:pPr>
            <w:r>
              <w:rPr>
                <w:rFonts w:ascii="Times New Roman" w:cs="Times New Roman" w:eastAsia="Times New Roman" w:hAnsi="Times New Roman"/>
                <w:sz w:val="18"/>
                <w:szCs w:val="18"/>
                <w:i w:val="1"/>
                <w:iCs w:val="1"/>
                <w:color w:val="auto"/>
              </w:rPr>
              <w:t>354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1,482</w:t>
            </w:r>
          </w:p>
        </w:tc>
      </w:tr>
      <w:tr>
        <w:trPr>
          <w:trHeight w:val="25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Retirement benefits </w:t>
            </w:r>
            <w:r>
              <w:rPr>
                <w:rFonts w:ascii="Times New Roman" w:cs="Times New Roman" w:eastAsia="Times New Roman" w:hAnsi="Times New Roman"/>
                <w:sz w:val="18"/>
                <w:szCs w:val="18"/>
                <w:color w:val="B4B4B4"/>
                <w:w w:val="99"/>
              </w:rPr>
              <w:t>.............................</w:t>
            </w:r>
          </w:p>
        </w:tc>
        <w:tc>
          <w:tcPr>
            <w:tcW w:w="1960" w:type="dxa"/>
            <w:vAlign w:val="bottom"/>
          </w:tcPr>
          <w:p>
            <w:pPr>
              <w:jc w:val="right"/>
              <w:ind w:right="58"/>
              <w:spacing w:after="0"/>
              <w:rPr>
                <w:sz w:val="20"/>
                <w:szCs w:val="20"/>
                <w:color w:val="auto"/>
              </w:rPr>
            </w:pPr>
            <w:r>
              <w:rPr>
                <w:rFonts w:ascii="Times New Roman" w:cs="Times New Roman" w:eastAsia="Times New Roman" w:hAnsi="Times New Roman"/>
                <w:sz w:val="18"/>
                <w:szCs w:val="18"/>
                <w:i w:val="1"/>
                <w:iCs w:val="1"/>
                <w:color w:val="auto"/>
              </w:rPr>
              <w:t>—</w:t>
            </w:r>
          </w:p>
        </w:tc>
        <w:tc>
          <w:tcPr>
            <w:tcW w:w="1760" w:type="dxa"/>
            <w:vAlign w:val="bottom"/>
          </w:tcPr>
          <w:p>
            <w:pPr>
              <w:jc w:val="right"/>
              <w:ind w:right="138"/>
              <w:spacing w:after="0"/>
              <w:rPr>
                <w:sz w:val="20"/>
                <w:szCs w:val="20"/>
                <w:color w:val="auto"/>
              </w:rPr>
            </w:pPr>
            <w:r>
              <w:rPr>
                <w:rFonts w:ascii="Times New Roman" w:cs="Times New Roman" w:eastAsia="Times New Roman" w:hAnsi="Times New Roman"/>
                <w:sz w:val="18"/>
                <w:szCs w:val="18"/>
                <w:i w:val="1"/>
                <w:iCs w:val="1"/>
                <w:color w:val="auto"/>
              </w:rPr>
              <w:t>638</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638</w:t>
            </w: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w w:val="98"/>
              </w:rPr>
              <w:t xml:space="preserve">Off-balance sheet obligations </w:t>
            </w:r>
            <w:r>
              <w:rPr>
                <w:rFonts w:ascii="Times New Roman" w:cs="Times New Roman" w:eastAsia="Times New Roman" w:hAnsi="Times New Roman"/>
                <w:sz w:val="18"/>
                <w:szCs w:val="18"/>
                <w:color w:val="B4B4B4"/>
                <w:w w:val="98"/>
              </w:rPr>
              <w:t>..............</w:t>
            </w:r>
          </w:p>
        </w:tc>
        <w:tc>
          <w:tcPr>
            <w:tcW w:w="19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i w:val="1"/>
                <w:iCs w:val="1"/>
                <w:color w:val="auto"/>
              </w:rPr>
              <w:t>198,060</w:t>
            </w:r>
          </w:p>
        </w:tc>
        <w:tc>
          <w:tcPr>
            <w:tcW w:w="17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i w:val="1"/>
                <w:iCs w:val="1"/>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198,060</w:t>
            </w: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 xml:space="preserve">Total </w:t>
            </w:r>
            <w:r>
              <w:rPr>
                <w:rFonts w:ascii="Times New Roman" w:cs="Times New Roman" w:eastAsia="Times New Roman" w:hAnsi="Times New Roman"/>
                <w:sz w:val="18"/>
                <w:szCs w:val="18"/>
                <w:b w:val="1"/>
                <w:bCs w:val="1"/>
                <w:color w:val="B4B4B4"/>
                <w:w w:val="98"/>
              </w:rPr>
              <w:t>....................................................</w:t>
            </w:r>
          </w:p>
        </w:tc>
        <w:tc>
          <w:tcPr>
            <w:tcW w:w="19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199,187</w:t>
            </w:r>
          </w:p>
        </w:tc>
        <w:tc>
          <w:tcPr>
            <w:tcW w:w="17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992</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200,180</w:t>
            </w:r>
          </w:p>
        </w:tc>
      </w:tr>
      <w:tr>
        <w:trPr>
          <w:trHeight w:val="20"/>
        </w:trPr>
        <w:tc>
          <w:tcPr>
            <w:tcW w:w="27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00" w:right="319" w:firstLine="441"/>
        <w:spacing w:after="0" w:line="216" w:lineRule="auto"/>
        <w:rPr>
          <w:sz w:val="20"/>
          <w:szCs w:val="20"/>
          <w:color w:val="auto"/>
        </w:rPr>
      </w:pPr>
      <w:r>
        <w:rPr>
          <w:rFonts w:ascii="Times New Roman" w:cs="Times New Roman" w:eastAsia="Times New Roman" w:hAnsi="Times New Roman"/>
          <w:sz w:val="18"/>
          <w:szCs w:val="18"/>
          <w:color w:val="auto"/>
        </w:rPr>
        <w:t>In the ordinary course of our business, we regularly use the services of subcontractors and enter into research and partnership arrangements with various contract research organizations (“CROs”) and with public-sector partners or subcontractors, who conduct clinical trials and studies in relation to our drug candidates. Off-balance sheet</w:t>
      </w:r>
    </w:p>
    <w:p>
      <w:pPr>
        <w:spacing w:after="0" w:line="1"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obligations in the table above are commitments related to these research and partnership agreements. They are classified at less than one year maturity in the absence of a fixed schedule in contracts, in case of multiple-year contracts, such as CRO contracts. CRO contracts include payments that are conditional to the completion of future</w:t>
      </w:r>
    </w:p>
    <w:p>
      <w:pPr>
        <w:spacing w:after="0" w:line="2" w:lineRule="exact"/>
        <w:rPr>
          <w:sz w:val="20"/>
          <w:szCs w:val="20"/>
          <w:color w:val="auto"/>
        </w:rPr>
      </w:pPr>
    </w:p>
    <w:p>
      <w:pPr>
        <w:ind w:left="300" w:right="359"/>
        <w:spacing w:after="0" w:line="218" w:lineRule="auto"/>
        <w:rPr>
          <w:sz w:val="20"/>
          <w:szCs w:val="20"/>
          <w:color w:val="auto"/>
        </w:rPr>
      </w:pPr>
      <w:r>
        <w:rPr>
          <w:rFonts w:ascii="Times New Roman" w:cs="Times New Roman" w:eastAsia="Times New Roman" w:hAnsi="Times New Roman"/>
          <w:sz w:val="18"/>
          <w:szCs w:val="18"/>
          <w:color w:val="auto"/>
        </w:rPr>
        <w:t>development milestones. The majority of the commitments with our CROs are cancellable under certain circumstances such as insolvency, study put on hold by competent authorities, breach in regulations or negligence in the provision of the services.</w:t>
      </w:r>
    </w:p>
    <w:p>
      <w:pPr>
        <w:spacing w:after="0" w:line="64" w:lineRule="exact"/>
        <w:rPr>
          <w:sz w:val="20"/>
          <w:szCs w:val="20"/>
          <w:color w:val="auto"/>
        </w:rPr>
      </w:pPr>
    </w:p>
    <w:p>
      <w:pPr>
        <w:jc w:val="both"/>
        <w:ind w:left="300" w:right="419" w:firstLine="441"/>
        <w:spacing w:after="0" w:line="239" w:lineRule="auto"/>
        <w:rPr>
          <w:sz w:val="20"/>
          <w:szCs w:val="20"/>
          <w:color w:val="auto"/>
        </w:rPr>
      </w:pPr>
      <w:r>
        <w:rPr>
          <w:rFonts w:ascii="Times New Roman" w:cs="Times New Roman" w:eastAsia="Times New Roman" w:hAnsi="Times New Roman"/>
          <w:sz w:val="17"/>
          <w:szCs w:val="17"/>
          <w:color w:val="auto"/>
        </w:rPr>
        <w:t>Our material cash requirements in the above table do not include potential future royalty payments related to the royalty certificates, amounting to 2% of the future net sales of obefazimod (worldwide and for all indications). The amount of royalties that may be paid under the royalty certificates is capped at €172.1 million in the aggregate.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019"/>
          </w:cols>
          <w:pgMar w:left="1440" w:top="1440" w:right="1440" w:bottom="1440" w:gutter="0" w:footer="0" w:header="0"/>
          <w:type w:val="continuous"/>
        </w:sectPr>
      </w:pPr>
    </w:p>
    <w:bookmarkStart w:id="15" w:name="page16"/>
    <w:bookmarkEnd w:id="15"/>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right="459"/>
        <w:spacing w:after="0" w:line="222" w:lineRule="auto"/>
        <w:rPr>
          <w:sz w:val="20"/>
          <w:szCs w:val="20"/>
          <w:color w:val="auto"/>
        </w:rPr>
      </w:pPr>
      <w:r>
        <w:rPr>
          <w:rFonts w:ascii="Times New Roman" w:cs="Times New Roman" w:eastAsia="Times New Roman" w:hAnsi="Times New Roman"/>
          <w:sz w:val="18"/>
          <w:szCs w:val="18"/>
          <w:color w:val="auto"/>
        </w:rPr>
        <w:t>On May 7, 2026, we repurchased all of our outstanding royalty certificates from their holders at an aggregate price of €76.5 million, paid in cash and ADSs. All of the royalty certificates were immediately cancelled following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transaction.</w:t>
      </w:r>
    </w:p>
    <w:p>
      <w:pPr>
        <w:spacing w:after="0" w:line="45" w:lineRule="exact"/>
        <w:rPr>
          <w:sz w:val="20"/>
          <w:szCs w:val="20"/>
          <w:color w:val="auto"/>
        </w:rPr>
      </w:pPr>
    </w:p>
    <w:p>
      <w:pPr>
        <w:ind w:left="740"/>
        <w:spacing w:after="0"/>
        <w:tabs>
          <w:tab w:leader="none" w:pos="2520" w:val="left"/>
          <w:tab w:leader="none" w:pos="5240" w:val="left"/>
        </w:tabs>
        <w:rPr>
          <w:sz w:val="20"/>
          <w:szCs w:val="20"/>
          <w:color w:val="auto"/>
        </w:rPr>
      </w:pPr>
      <w:r>
        <w:rPr>
          <w:rFonts w:ascii="Times New Roman" w:cs="Times New Roman" w:eastAsia="Times New Roman" w:hAnsi="Times New Roman"/>
          <w:sz w:val="18"/>
          <w:szCs w:val="18"/>
          <w:color w:val="auto"/>
        </w:rPr>
        <w:t>As of March 31, 2026</w:t>
        <w:tab/>
        <w:t>, our contractual obligations were</w:t>
      </w:r>
      <w:r>
        <w:rPr>
          <w:sz w:val="20"/>
          <w:szCs w:val="20"/>
          <w:color w:val="auto"/>
        </w:rPr>
        <w:tab/>
      </w:r>
      <w:r>
        <w:rPr>
          <w:rFonts w:ascii="Times New Roman" w:cs="Times New Roman" w:eastAsia="Times New Roman" w:hAnsi="Times New Roman"/>
          <w:sz w:val="18"/>
          <w:szCs w:val="18"/>
          <w:color w:val="auto"/>
        </w:rPr>
        <w:t>€200.2 million , comprising off-balance sheet</w:t>
      </w:r>
    </w:p>
    <w:p>
      <w:pPr>
        <w:ind w:left="300" w:right="319"/>
        <w:spacing w:after="0" w:line="233" w:lineRule="auto"/>
        <w:rPr>
          <w:sz w:val="20"/>
          <w:szCs w:val="20"/>
          <w:color w:val="auto"/>
        </w:rPr>
      </w:pPr>
      <w:r>
        <w:rPr>
          <w:rFonts w:ascii="Times New Roman" w:cs="Times New Roman" w:eastAsia="Times New Roman" w:hAnsi="Times New Roman"/>
          <w:sz w:val="18"/>
          <w:szCs w:val="18"/>
          <w:color w:val="auto"/>
        </w:rPr>
        <w:t>obligations of €198.1 million with respect to purchase obligations, lease obligations of €1.5 million and retirement benefits obligations of €0.6 million.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019"/>
          </w:cols>
          <w:pgMar w:left="1440" w:top="1440" w:right="1440"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INDEX TO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539"/>
        <w:spacing w:after="0"/>
        <w:rPr>
          <w:sz w:val="20"/>
          <w:szCs w:val="20"/>
          <w:color w:val="auto"/>
        </w:rPr>
      </w:pPr>
      <w:r>
        <w:rPr>
          <w:rFonts w:ascii="Arial" w:cs="Arial" w:eastAsia="Arial" w:hAnsi="Arial"/>
          <w:sz w:val="20"/>
          <w:szCs w:val="20"/>
          <w:color w:val="auto"/>
        </w:rPr>
        <w:t> </w:t>
      </w:r>
    </w:p>
    <w:p>
      <w:pPr>
        <w:spacing w:after="0" w:line="219"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Condensed Consolidated Statements of Financial Position </w:t>
            </w:r>
            <w:r>
              <w:rPr>
                <w:rFonts w:ascii="Times New Roman" w:cs="Times New Roman" w:eastAsia="Times New Roman" w:hAnsi="Times New Roman"/>
                <w:sz w:val="18"/>
                <w:szCs w:val="18"/>
                <w:color w:val="B4B4B4"/>
                <w:w w:val="99"/>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F-2</w:t>
            </w:r>
          </w:p>
        </w:tc>
      </w:tr>
      <w:tr>
        <w:trPr>
          <w:trHeight w:val="62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Condensed Consolidated Statements of Loss </w:t>
            </w:r>
            <w:r>
              <w:rPr>
                <w:rFonts w:ascii="Times New Roman" w:cs="Times New Roman" w:eastAsia="Times New Roman" w:hAnsi="Times New Roman"/>
                <w:sz w:val="18"/>
                <w:szCs w:val="18"/>
                <w:color w:val="B4B4B4"/>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F-3</w:t>
            </w:r>
          </w:p>
        </w:tc>
      </w:tr>
      <w:tr>
        <w:trPr>
          <w:trHeight w:val="6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Condensed Consolidated Statements of Comprehensive Loss </w:t>
            </w:r>
            <w:r>
              <w:rPr>
                <w:rFonts w:ascii="Times New Roman" w:cs="Times New Roman" w:eastAsia="Times New Roman" w:hAnsi="Times New Roman"/>
                <w:sz w:val="18"/>
                <w:szCs w:val="18"/>
                <w:color w:val="B4B4B4"/>
                <w:w w:val="99"/>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F-4</w:t>
            </w:r>
          </w:p>
        </w:tc>
      </w:tr>
      <w:tr>
        <w:trPr>
          <w:trHeight w:val="6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Condensed Consolidated Statements of Changes in Shareholders’ Equity </w:t>
            </w:r>
            <w:r>
              <w:rPr>
                <w:rFonts w:ascii="Times New Roman" w:cs="Times New Roman" w:eastAsia="Times New Roman" w:hAnsi="Times New Roman"/>
                <w:sz w:val="18"/>
                <w:szCs w:val="18"/>
                <w:color w:val="B4B4B4"/>
                <w:w w:val="99"/>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F-5</w:t>
            </w:r>
          </w:p>
        </w:tc>
      </w:tr>
      <w:tr>
        <w:trPr>
          <w:trHeight w:val="635"/>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Condensed Consolidated Statements of Cash Flows </w:t>
            </w:r>
            <w:r>
              <w:rPr>
                <w:rFonts w:ascii="Times New Roman" w:cs="Times New Roman" w:eastAsia="Times New Roman" w:hAnsi="Times New Roman"/>
                <w:sz w:val="18"/>
                <w:szCs w:val="18"/>
                <w:color w:val="B4B4B4"/>
                <w:w w:val="99"/>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F-6</w:t>
            </w:r>
          </w:p>
        </w:tc>
      </w:tr>
      <w:tr>
        <w:trPr>
          <w:trHeight w:val="6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Notes to the Condensed Consolidated Financial Statements </w:t>
            </w:r>
            <w:r>
              <w:rPr>
                <w:rFonts w:ascii="Times New Roman" w:cs="Times New Roman" w:eastAsia="Times New Roman" w:hAnsi="Times New Roman"/>
                <w:sz w:val="18"/>
                <w:szCs w:val="18"/>
                <w:color w:val="B4B4B4"/>
                <w:w w:val="99"/>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F-7</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ectPr>
          <w:pgSz w:w="11900" w:h="16838" w:orient="portrait"/>
          <w:cols w:equalWidth="0" w:num="1">
            <w:col w:w="9019"/>
          </w:cols>
          <w:pgMar w:left="1440" w:top="1440" w:right="1440" w:bottom="1440" w:gutter="0" w:footer="0" w:header="0"/>
          <w:type w:val="continuous"/>
        </w:sectPr>
      </w:pPr>
    </w:p>
    <w:bookmarkStart w:id="17" w:name="page18"/>
    <w:bookmarkEnd w:id="17"/>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left="1800"/>
        <w:spacing w:after="0" w:line="286" w:lineRule="auto"/>
        <w:rPr>
          <w:sz w:val="20"/>
          <w:szCs w:val="20"/>
          <w:color w:val="auto"/>
        </w:rPr>
      </w:pPr>
      <w:r>
        <w:rPr>
          <w:rFonts w:ascii="Times New Roman" w:cs="Times New Roman" w:eastAsia="Times New Roman" w:hAnsi="Times New Roman"/>
          <w:sz w:val="18"/>
          <w:szCs w:val="18"/>
          <w:b w:val="1"/>
          <w:bCs w:val="1"/>
          <w:color w:val="auto"/>
        </w:rPr>
        <w:t>ABIVAX SA UNAUDITED INTERIM CONDENSED CONSOLIDATED STATEMENTS OF FINANCIAL POSITION</w:t>
      </w:r>
    </w:p>
    <w:p>
      <w:pPr>
        <w:spacing w:after="0" w:line="200" w:lineRule="exact"/>
        <w:rPr>
          <w:sz w:val="20"/>
          <w:szCs w:val="20"/>
          <w:color w:val="auto"/>
        </w:rPr>
      </w:pPr>
    </w:p>
    <w:p>
      <w:pPr>
        <w:spacing w:after="0" w:line="344" w:lineRule="exact"/>
        <w:rPr>
          <w:sz w:val="20"/>
          <w:szCs w:val="20"/>
          <w:color w:val="auto"/>
        </w:rPr>
      </w:pPr>
    </w:p>
    <w:tbl>
      <w:tblPr>
        <w:tblLayout w:type="fixed"/>
        <w:tblInd w:w="300" w:type="dxa"/>
        <w:tblCellMar>
          <w:top w:w="0" w:type="dxa"/>
          <w:left w:w="0" w:type="dxa"/>
          <w:bottom w:w="0" w:type="dxa"/>
          <w:right w:w="0" w:type="dxa"/>
        </w:tblCellMar>
      </w:tblPr>
      <w:tr>
        <w:trPr>
          <w:trHeight w:val="176"/>
        </w:trPr>
        <w:tc>
          <w:tcPr>
            <w:tcW w:w="344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(Amounts in thousands of euros)</w:t>
            </w: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96"/>
        </w:trPr>
        <w:tc>
          <w:tcPr>
            <w:tcW w:w="34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94"/>
        </w:trPr>
        <w:tc>
          <w:tcPr>
            <w:tcW w:w="3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44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Goodwill</w:t>
            </w:r>
          </w:p>
        </w:tc>
        <w:tc>
          <w:tcPr>
            <w:tcW w:w="11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85"/>
              </w:rPr>
              <w:t>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18,419</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18,419</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Intangible assets</w:t>
            </w: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85"/>
              </w:rPr>
              <w:t>7</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6,605</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6,605</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1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85"/>
              </w:rPr>
              <w:t>8</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financial assets</w:t>
            </w: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85"/>
              </w:rPr>
              <w:t>9</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5,395</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receivables and assets</w:t>
            </w:r>
          </w:p>
        </w:tc>
        <w:tc>
          <w:tcPr>
            <w:tcW w:w="11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33,097</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33,922</w:t>
            </w:r>
          </w:p>
        </w:tc>
        <w:tc>
          <w:tcPr>
            <w:tcW w:w="0" w:type="dxa"/>
            <w:vAlign w:val="bottom"/>
          </w:tcPr>
          <w:p>
            <w:pPr>
              <w:spacing w:after="0"/>
              <w:rPr>
                <w:sz w:val="1"/>
                <w:szCs w:val="1"/>
                <w:color w:val="auto"/>
              </w:rPr>
            </w:pPr>
          </w:p>
        </w:tc>
      </w:tr>
      <w:tr>
        <w:trPr>
          <w:trHeight w:val="215"/>
        </w:trPr>
        <w:tc>
          <w:tcPr>
            <w:tcW w:w="3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financial assets</w:t>
            </w: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85"/>
              </w:rPr>
              <w:t>9</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21,415</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22,032</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receivables and assets</w:t>
            </w:r>
          </w:p>
        </w:tc>
        <w:tc>
          <w:tcPr>
            <w:tcW w:w="11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13,144</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13,766</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11</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516,685</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477,423</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551,244</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513,220</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584,341</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547,142</w:t>
            </w:r>
          </w:p>
        </w:tc>
        <w:tc>
          <w:tcPr>
            <w:tcW w:w="0" w:type="dxa"/>
            <w:vAlign w:val="bottom"/>
          </w:tcPr>
          <w:p>
            <w:pPr>
              <w:spacing w:after="0"/>
              <w:rPr>
                <w:sz w:val="1"/>
                <w:szCs w:val="1"/>
                <w:color w:val="auto"/>
              </w:rPr>
            </w:pPr>
          </w:p>
        </w:tc>
      </w:tr>
      <w:tr>
        <w:trPr>
          <w:trHeight w:val="292"/>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4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Share capital</w:t>
            </w:r>
          </w:p>
        </w:tc>
        <w:tc>
          <w:tcPr>
            <w:tcW w:w="1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Premiums related to share capital</w:t>
            </w:r>
          </w:p>
        </w:tc>
        <w:tc>
          <w:tcPr>
            <w:tcW w:w="1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1,190,593</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1,191,083</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Translation reserve</w:t>
            </w:r>
          </w:p>
        </w:tc>
        <w:tc>
          <w:tcPr>
            <w:tcW w:w="1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Retained earnings</w:t>
            </w:r>
          </w:p>
        </w:tc>
        <w:tc>
          <w:tcPr>
            <w:tcW w:w="1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(402,380)</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(715,843)</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loss for the period</w:t>
            </w:r>
          </w:p>
        </w:tc>
        <w:tc>
          <w:tcPr>
            <w:tcW w:w="1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(336,102)</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(48,468)</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13</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455,205</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429,594</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Retirement benefit obligations</w:t>
            </w: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16</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Provisions</w:t>
            </w:r>
          </w:p>
        </w:tc>
        <w:tc>
          <w:tcPr>
            <w:tcW w:w="11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17.3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28,849</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15,491</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Borrowings</w:t>
            </w: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Royalty certificates</w:t>
            </w:r>
          </w:p>
        </w:tc>
        <w:tc>
          <w:tcPr>
            <w:tcW w:w="11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30,237</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32,764</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22</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5,848</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6,076</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66,114</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55,315</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Borrowings</w:t>
            </w:r>
          </w:p>
        </w:tc>
        <w:tc>
          <w:tcPr>
            <w:tcW w:w="11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Provisions</w:t>
            </w: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17.3</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17,030</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18,125</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Trade payables and other current liabilities</w:t>
            </w:r>
          </w:p>
        </w:tc>
        <w:tc>
          <w:tcPr>
            <w:tcW w:w="11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17.1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37,552</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29,514</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Tax and employee-related payables</w:t>
            </w: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17.2</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w:t>
            </w: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63,021</w:t>
            </w: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62,233</w:t>
            </w:r>
          </w:p>
        </w:tc>
        <w:tc>
          <w:tcPr>
            <w:tcW w:w="0" w:type="dxa"/>
            <w:vAlign w:val="bottom"/>
          </w:tcPr>
          <w:p>
            <w:pPr>
              <w:spacing w:after="0"/>
              <w:rPr>
                <w:sz w:val="1"/>
                <w:szCs w:val="1"/>
                <w:color w:val="auto"/>
              </w:rPr>
            </w:pPr>
          </w:p>
        </w:tc>
      </w:tr>
      <w:tr>
        <w:trPr>
          <w:trHeight w:val="19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LIABILITIES AND SHAREHOLDERS'</w:t>
            </w:r>
          </w:p>
        </w:tc>
        <w:tc>
          <w:tcPr>
            <w:tcW w:w="112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584,341</w:t>
            </w:r>
          </w:p>
        </w:tc>
        <w:tc>
          <w:tcPr>
            <w:tcW w:w="6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547,142</w:t>
            </w:r>
          </w:p>
        </w:tc>
        <w:tc>
          <w:tcPr>
            <w:tcW w:w="0" w:type="dxa"/>
            <w:vAlign w:val="bottom"/>
          </w:tcPr>
          <w:p>
            <w:pPr>
              <w:spacing w:after="0"/>
              <w:rPr>
                <w:sz w:val="1"/>
                <w:szCs w:val="1"/>
                <w:color w:val="auto"/>
              </w:rPr>
            </w:pPr>
          </w:p>
        </w:tc>
      </w:tr>
      <w:tr>
        <w:trPr>
          <w:trHeight w:val="96"/>
        </w:trPr>
        <w:tc>
          <w:tcPr>
            <w:tcW w:w="34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12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4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9019"/>
          </w:cols>
          <w:pgMar w:left="1440" w:top="1440" w:right="1440" w:bottom="1440" w:gutter="0" w:footer="0" w:header="0"/>
          <w:type w:val="continuous"/>
        </w:sectPr>
      </w:pPr>
    </w:p>
    <w:bookmarkStart w:id="18" w:name="page19"/>
    <w:bookmarkEnd w:id="18"/>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ABIVAX SA UNAUDITED CONDENSED CONSOLIDATED STATEMENTS OF LOSS</w:t>
      </w:r>
    </w:p>
    <w:p>
      <w:pPr>
        <w:spacing w:after="0" w:line="371" w:lineRule="exact"/>
        <w:rPr>
          <w:sz w:val="20"/>
          <w:szCs w:val="20"/>
          <w:color w:val="auto"/>
        </w:rPr>
      </w:pPr>
    </w:p>
    <w:tbl>
      <w:tblPr>
        <w:tblLayout w:type="fixed"/>
        <w:tblInd w:w="28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w:t>
            </w:r>
          </w:p>
        </w:tc>
        <w:tc>
          <w:tcPr>
            <w:tcW w:w="0" w:type="dxa"/>
            <w:vAlign w:val="bottom"/>
          </w:tcPr>
          <w:p>
            <w:pPr>
              <w:spacing w:after="0"/>
              <w:rPr>
                <w:sz w:val="1"/>
                <w:szCs w:val="1"/>
                <w:color w:val="auto"/>
              </w:rPr>
            </w:pPr>
          </w:p>
        </w:tc>
      </w:tr>
      <w:tr>
        <w:trPr>
          <w:trHeight w:val="189"/>
        </w:trPr>
        <w:tc>
          <w:tcPr>
            <w:tcW w:w="5200" w:type="dxa"/>
            <w:vAlign w:val="bottom"/>
            <w:vMerge w:val="restart"/>
          </w:tcPr>
          <w:p>
            <w:pPr>
              <w:ind w:left="620"/>
              <w:spacing w:after="0"/>
              <w:rPr>
                <w:sz w:val="20"/>
                <w:szCs w:val="20"/>
                <w:color w:val="auto"/>
              </w:rPr>
            </w:pPr>
            <w:r>
              <w:rPr>
                <w:rFonts w:ascii="Times New Roman" w:cs="Times New Roman" w:eastAsia="Times New Roman" w:hAnsi="Times New Roman"/>
                <w:sz w:val="14"/>
                <w:szCs w:val="14"/>
                <w:color w:val="auto"/>
              </w:rPr>
              <w:t>(Amounts in thousands of euros, except share and per share amounts)</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6"/>
                <w:szCs w:val="16"/>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96"/>
        </w:trPr>
        <w:tc>
          <w:tcPr>
            <w:tcW w:w="52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80"/>
        </w:trPr>
        <w:tc>
          <w:tcPr>
            <w:tcW w:w="5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37"/>
        </w:trPr>
        <w:tc>
          <w:tcPr>
            <w:tcW w:w="5200" w:type="dxa"/>
            <w:vAlign w:val="bottom"/>
            <w:tcBorders>
              <w:bottom w:val="single" w:sz="8" w:color="CCEC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4"/>
                <w:szCs w:val="14"/>
                <w:color w:val="auto"/>
              </w:rPr>
              <w:t>Other operating income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18</w:t>
            </w:r>
          </w:p>
        </w:tc>
        <w:tc>
          <w:tcPr>
            <w:tcW w:w="60" w:type="dxa"/>
            <w:vAlign w:val="bottom"/>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6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0" w:type="dxa"/>
            <w:vAlign w:val="bottom"/>
          </w:tcPr>
          <w:p>
            <w:pPr>
              <w:spacing w:after="0"/>
              <w:rPr>
                <w:sz w:val="1"/>
                <w:szCs w:val="1"/>
                <w:color w:val="auto"/>
              </w:rPr>
            </w:pPr>
          </w:p>
        </w:tc>
      </w:tr>
      <w:tr>
        <w:trPr>
          <w:trHeight w:val="191"/>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operating income</w:t>
            </w:r>
          </w:p>
        </w:tc>
        <w:tc>
          <w:tcPr>
            <w:tcW w:w="8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994</w:t>
            </w:r>
          </w:p>
        </w:tc>
        <w:tc>
          <w:tcPr>
            <w:tcW w:w="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1,344</w:t>
            </w:r>
          </w:p>
        </w:tc>
        <w:tc>
          <w:tcPr>
            <w:tcW w:w="0" w:type="dxa"/>
            <w:vAlign w:val="bottom"/>
          </w:tcPr>
          <w:p>
            <w:pPr>
              <w:spacing w:after="0"/>
              <w:rPr>
                <w:sz w:val="1"/>
                <w:szCs w:val="1"/>
                <w:color w:val="auto"/>
              </w:rPr>
            </w:pPr>
          </w:p>
        </w:tc>
      </w:tr>
      <w:tr>
        <w:trPr>
          <w:trHeight w:val="201"/>
        </w:trPr>
        <w:tc>
          <w:tcPr>
            <w:tcW w:w="5200" w:type="dxa"/>
            <w:vAlign w:val="bottom"/>
            <w:tcBorders>
              <w:top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8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19.1</w:t>
            </w:r>
          </w:p>
        </w:tc>
        <w:tc>
          <w:tcPr>
            <w:tcW w:w="60" w:type="dxa"/>
            <w:vAlign w:val="bottom"/>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0" w:type="dxa"/>
            <w:vAlign w:val="bottom"/>
          </w:tcPr>
          <w:p>
            <w:pPr>
              <w:spacing w:after="0"/>
              <w:rPr>
                <w:sz w:val="1"/>
                <w:szCs w:val="1"/>
                <w:color w:val="auto"/>
              </w:rPr>
            </w:pPr>
          </w:p>
        </w:tc>
      </w:tr>
      <w:tr>
        <w:trPr>
          <w:trHeight w:val="211"/>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(39,301)</w:t>
            </w:r>
          </w:p>
        </w:tc>
        <w:tc>
          <w:tcPr>
            <w:tcW w:w="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(49,542)</w:t>
            </w:r>
          </w:p>
        </w:tc>
        <w:tc>
          <w:tcPr>
            <w:tcW w:w="0" w:type="dxa"/>
            <w:vAlign w:val="bottom"/>
          </w:tcPr>
          <w:p>
            <w:pPr>
              <w:spacing w:after="0"/>
              <w:rPr>
                <w:sz w:val="1"/>
                <w:szCs w:val="1"/>
                <w:color w:val="auto"/>
              </w:rPr>
            </w:pPr>
          </w:p>
        </w:tc>
      </w:tr>
      <w:tr>
        <w:trPr>
          <w:trHeight w:val="221"/>
        </w:trPr>
        <w:tc>
          <w:tcPr>
            <w:tcW w:w="52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19.3</w:t>
            </w:r>
          </w:p>
        </w:tc>
        <w:tc>
          <w:tcPr>
            <w:tcW w:w="60" w:type="dxa"/>
            <w:vAlign w:val="bottom"/>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(8,033)</w:t>
            </w:r>
          </w:p>
        </w:tc>
        <w:tc>
          <w:tcPr>
            <w:tcW w:w="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w:t>
            </w:r>
          </w:p>
        </w:tc>
        <w:tc>
          <w:tcPr>
            <w:tcW w:w="0" w:type="dxa"/>
            <w:vAlign w:val="bottom"/>
          </w:tcPr>
          <w:p>
            <w:pPr>
              <w:spacing w:after="0"/>
              <w:rPr>
                <w:sz w:val="1"/>
                <w:szCs w:val="1"/>
                <w:color w:val="auto"/>
              </w:rPr>
            </w:pPr>
          </w:p>
        </w:tc>
      </w:tr>
      <w:tr>
        <w:trPr>
          <w:trHeight w:val="191"/>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(48,194)</w:t>
            </w:r>
          </w:p>
        </w:tc>
        <w:tc>
          <w:tcPr>
            <w:tcW w:w="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(57,574)</w:t>
            </w:r>
          </w:p>
        </w:tc>
        <w:tc>
          <w:tcPr>
            <w:tcW w:w="0" w:type="dxa"/>
            <w:vAlign w:val="bottom"/>
          </w:tcPr>
          <w:p>
            <w:pPr>
              <w:spacing w:after="0"/>
              <w:rPr>
                <w:sz w:val="1"/>
                <w:szCs w:val="1"/>
                <w:color w:val="auto"/>
              </w:rPr>
            </w:pPr>
          </w:p>
        </w:tc>
      </w:tr>
      <w:tr>
        <w:trPr>
          <w:trHeight w:val="201"/>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86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(47,200)</w:t>
            </w:r>
          </w:p>
        </w:tc>
        <w:tc>
          <w:tcPr>
            <w:tcW w:w="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(56,229)</w:t>
            </w:r>
          </w:p>
        </w:tc>
        <w:tc>
          <w:tcPr>
            <w:tcW w:w="0" w:type="dxa"/>
            <w:vAlign w:val="bottom"/>
          </w:tcPr>
          <w:p>
            <w:pPr>
              <w:spacing w:after="0"/>
              <w:rPr>
                <w:sz w:val="1"/>
                <w:szCs w:val="1"/>
                <w:color w:val="auto"/>
              </w:rPr>
            </w:pPr>
          </w:p>
        </w:tc>
      </w:tr>
      <w:tr>
        <w:trPr>
          <w:trHeight w:val="189"/>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expenses</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w:t>
            </w:r>
          </w:p>
        </w:tc>
        <w:tc>
          <w:tcPr>
            <w:tcW w:w="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Financial income</w:t>
            </w:r>
          </w:p>
        </w:tc>
        <w:tc>
          <w:tcPr>
            <w:tcW w:w="86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12,759</w:t>
            </w:r>
          </w:p>
        </w:tc>
        <w:tc>
          <w:tcPr>
            <w:tcW w:w="0" w:type="dxa"/>
            <w:vAlign w:val="bottom"/>
          </w:tcPr>
          <w:p>
            <w:pPr>
              <w:spacing w:after="0"/>
              <w:rPr>
                <w:sz w:val="1"/>
                <w:szCs w:val="1"/>
                <w:color w:val="auto"/>
              </w:rPr>
            </w:pPr>
          </w:p>
        </w:tc>
      </w:tr>
      <w:tr>
        <w:trPr>
          <w:trHeight w:val="191"/>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Financial gain (loss)</w:t>
            </w: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21</w:t>
            </w:r>
          </w:p>
        </w:tc>
        <w:tc>
          <w:tcPr>
            <w:tcW w:w="6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(5,170)</w:t>
            </w:r>
          </w:p>
        </w:tc>
        <w:tc>
          <w:tcPr>
            <w:tcW w:w="6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7,989</w:t>
            </w:r>
          </w:p>
        </w:tc>
        <w:tc>
          <w:tcPr>
            <w:tcW w:w="0" w:type="dxa"/>
            <w:vAlign w:val="bottom"/>
          </w:tcPr>
          <w:p>
            <w:pPr>
              <w:spacing w:after="0"/>
              <w:rPr>
                <w:sz w:val="1"/>
                <w:szCs w:val="1"/>
                <w:color w:val="auto"/>
              </w:rPr>
            </w:pPr>
          </w:p>
        </w:tc>
      </w:tr>
      <w:tr>
        <w:trPr>
          <w:trHeight w:val="188"/>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loss before tax</w:t>
            </w:r>
          </w:p>
        </w:tc>
        <w:tc>
          <w:tcPr>
            <w:tcW w:w="8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(52,370)</w:t>
            </w:r>
          </w:p>
        </w:tc>
        <w:tc>
          <w:tcPr>
            <w:tcW w:w="6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(48,240)</w:t>
            </w:r>
          </w:p>
        </w:tc>
        <w:tc>
          <w:tcPr>
            <w:tcW w:w="0" w:type="dxa"/>
            <w:vAlign w:val="bottom"/>
          </w:tcPr>
          <w:p>
            <w:pPr>
              <w:spacing w:after="0"/>
              <w:rPr>
                <w:sz w:val="1"/>
                <w:szCs w:val="1"/>
                <w:color w:val="auto"/>
              </w:rPr>
            </w:pPr>
          </w:p>
        </w:tc>
      </w:tr>
      <w:tr>
        <w:trPr>
          <w:trHeight w:val="191"/>
        </w:trPr>
        <w:tc>
          <w:tcPr>
            <w:tcW w:w="5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Income tax</w:t>
            </w: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22</w:t>
            </w:r>
          </w:p>
        </w:tc>
        <w:tc>
          <w:tcPr>
            <w:tcW w:w="6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01"/>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loss for the period</w:t>
            </w:r>
          </w:p>
        </w:tc>
        <w:tc>
          <w:tcPr>
            <w:tcW w:w="8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(52,370)</w:t>
            </w:r>
          </w:p>
        </w:tc>
        <w:tc>
          <w:tcPr>
            <w:tcW w:w="6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(48,468)</w:t>
            </w:r>
          </w:p>
        </w:tc>
        <w:tc>
          <w:tcPr>
            <w:tcW w:w="0" w:type="dxa"/>
            <w:vAlign w:val="bottom"/>
          </w:tcPr>
          <w:p>
            <w:pPr>
              <w:spacing w:after="0"/>
              <w:rPr>
                <w:sz w:val="1"/>
                <w:szCs w:val="1"/>
                <w:color w:val="auto"/>
              </w:rPr>
            </w:pPr>
          </w:p>
        </w:tc>
      </w:tr>
      <w:tr>
        <w:trPr>
          <w:trHeight w:val="191"/>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(€/share)</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 average number of outstanding shares used for computing basic/diluted loss</w:t>
            </w:r>
          </w:p>
        </w:tc>
        <w:tc>
          <w:tcPr>
            <w:tcW w:w="86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63,378,911</w:t>
            </w:r>
          </w:p>
        </w:tc>
        <w:tc>
          <w:tcPr>
            <w:tcW w:w="60" w:type="dxa"/>
            <w:vAlign w:val="bottom"/>
            <w:shd w:val="clear" w:color="auto" w:fill="CCEEFF"/>
          </w:tcPr>
          <w:p>
            <w:pPr>
              <w:spacing w:after="0"/>
              <w:rPr>
                <w:sz w:val="23"/>
                <w:szCs w:val="2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78,958,563</w:t>
            </w:r>
          </w:p>
        </w:tc>
        <w:tc>
          <w:tcPr>
            <w:tcW w:w="0" w:type="dxa"/>
            <w:vAlign w:val="bottom"/>
          </w:tcPr>
          <w:p>
            <w:pPr>
              <w:spacing w:after="0"/>
              <w:rPr>
                <w:sz w:val="1"/>
                <w:szCs w:val="1"/>
                <w:color w:val="auto"/>
              </w:rPr>
            </w:pPr>
          </w:p>
        </w:tc>
      </w:tr>
      <w:tr>
        <w:trPr>
          <w:trHeight w:val="107"/>
        </w:trPr>
        <w:tc>
          <w:tcPr>
            <w:tcW w:w="52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 share</w:t>
            </w:r>
          </w:p>
        </w:tc>
        <w:tc>
          <w:tcPr>
            <w:tcW w:w="860" w:type="dxa"/>
            <w:vAlign w:val="bottom"/>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200" w:type="dxa"/>
            <w:vAlign w:val="bottom"/>
            <w:vMerge w:val="continue"/>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5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Borders>
              <w:bottom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Basic / diluted loss per share (€/share)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(0.83)</w:t>
            </w:r>
          </w:p>
        </w:tc>
        <w:tc>
          <w:tcPr>
            <w:tcW w:w="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(0.61)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F-3</w:t>
      </w:r>
    </w:p>
    <w:p>
      <w:pPr>
        <w:sectPr>
          <w:pgSz w:w="11900" w:h="16838" w:orient="portrait"/>
          <w:cols w:equalWidth="0" w:num="1">
            <w:col w:w="9019"/>
          </w:cols>
          <w:pgMar w:left="1440" w:top="1440" w:right="1440" w:bottom="1440" w:gutter="0" w:footer="0" w:header="0"/>
          <w:type w:val="continuous"/>
        </w:sectPr>
      </w:pPr>
    </w:p>
    <w:bookmarkStart w:id="19" w:name="page20"/>
    <w:bookmarkEnd w:id="19"/>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ABIVAX SA UNAUDITED CONDENSED CONSOLIDATED STATEMENTS OF COMPREHENSIVE LOSS</w:t>
      </w:r>
    </w:p>
    <w:p>
      <w:pPr>
        <w:spacing w:after="0" w:line="200" w:lineRule="exact"/>
        <w:rPr>
          <w:sz w:val="20"/>
          <w:szCs w:val="20"/>
          <w:color w:val="auto"/>
        </w:rPr>
      </w:pPr>
    </w:p>
    <w:p>
      <w:pPr>
        <w:spacing w:after="0" w:line="33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w:t>
            </w:r>
          </w:p>
        </w:tc>
        <w:tc>
          <w:tcPr>
            <w:tcW w:w="0" w:type="dxa"/>
            <w:vAlign w:val="bottom"/>
          </w:tcPr>
          <w:p>
            <w:pPr>
              <w:spacing w:after="0"/>
              <w:rPr>
                <w:sz w:val="1"/>
                <w:szCs w:val="1"/>
                <w:color w:val="auto"/>
              </w:rPr>
            </w:pPr>
          </w:p>
        </w:tc>
      </w:tr>
      <w:tr>
        <w:trPr>
          <w:trHeight w:val="176"/>
        </w:trPr>
        <w:tc>
          <w:tcPr>
            <w:tcW w:w="476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color w:val="auto"/>
              </w:rPr>
              <w:t>(Amounts in thousands of euros)</w:t>
            </w:r>
          </w:p>
        </w:tc>
        <w:tc>
          <w:tcPr>
            <w:tcW w:w="134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09"/>
        </w:trPr>
        <w:tc>
          <w:tcPr>
            <w:tcW w:w="47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1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66"/>
        </w:trPr>
        <w:tc>
          <w:tcPr>
            <w:tcW w:w="4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64"/>
        </w:trPr>
        <w:tc>
          <w:tcPr>
            <w:tcW w:w="4760" w:type="dxa"/>
            <w:vAlign w:val="bottom"/>
            <w:tcBorders>
              <w:bottom w:val="single" w:sz="8" w:color="CCEEFF"/>
            </w:tcBorders>
          </w:tcPr>
          <w:p>
            <w:pPr>
              <w:spacing w:after="0"/>
              <w:rPr>
                <w:sz w:val="5"/>
                <w:szCs w:val="5"/>
                <w:color w:val="auto"/>
              </w:rPr>
            </w:pPr>
          </w:p>
        </w:tc>
        <w:tc>
          <w:tcPr>
            <w:tcW w:w="134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Net loss for the period</w:t>
            </w:r>
          </w:p>
        </w:tc>
        <w:tc>
          <w:tcPr>
            <w:tcW w:w="134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(52,370)</w:t>
            </w:r>
          </w:p>
        </w:tc>
        <w:tc>
          <w:tcPr>
            <w:tcW w:w="6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(48,468)</w:t>
            </w:r>
          </w:p>
        </w:tc>
        <w:tc>
          <w:tcPr>
            <w:tcW w:w="0" w:type="dxa"/>
            <w:vAlign w:val="bottom"/>
          </w:tcPr>
          <w:p>
            <w:pPr>
              <w:spacing w:after="0"/>
              <w:rPr>
                <w:sz w:val="1"/>
                <w:szCs w:val="1"/>
                <w:color w:val="auto"/>
              </w:rPr>
            </w:pPr>
          </w:p>
        </w:tc>
      </w:tr>
      <w:tr>
        <w:trPr>
          <w:trHeight w:val="272"/>
        </w:trPr>
        <w:tc>
          <w:tcPr>
            <w:tcW w:w="4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Items that will not be reclassified to profit or loss</w:t>
            </w:r>
          </w:p>
        </w:tc>
        <w:tc>
          <w:tcPr>
            <w:tcW w:w="1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0" w:type="dxa"/>
            <w:vAlign w:val="bottom"/>
          </w:tcPr>
          <w:p>
            <w:pPr>
              <w:spacing w:after="0"/>
              <w:rPr>
                <w:sz w:val="1"/>
                <w:szCs w:val="1"/>
                <w:color w:val="auto"/>
              </w:rPr>
            </w:pPr>
          </w:p>
        </w:tc>
      </w:tr>
      <w:tr>
        <w:trPr>
          <w:trHeight w:val="91"/>
        </w:trPr>
        <w:tc>
          <w:tcPr>
            <w:tcW w:w="4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4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Actuarial gains and losses on retirement benefit obligations</w:t>
            </w:r>
          </w:p>
        </w:tc>
        <w:tc>
          <w:tcPr>
            <w:tcW w:w="13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91"/>
        </w:trPr>
        <w:tc>
          <w:tcPr>
            <w:tcW w:w="476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4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Items that are or may be reclassified subsequently to profit or loss</w:t>
            </w:r>
          </w:p>
        </w:tc>
        <w:tc>
          <w:tcPr>
            <w:tcW w:w="1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(280)</w:t>
            </w:r>
          </w:p>
        </w:tc>
        <w:tc>
          <w:tcPr>
            <w:tcW w:w="0" w:type="dxa"/>
            <w:vAlign w:val="bottom"/>
          </w:tcPr>
          <w:p>
            <w:pPr>
              <w:spacing w:after="0"/>
              <w:rPr>
                <w:sz w:val="1"/>
                <w:szCs w:val="1"/>
                <w:color w:val="auto"/>
              </w:rPr>
            </w:pPr>
          </w:p>
        </w:tc>
      </w:tr>
      <w:tr>
        <w:trPr>
          <w:trHeight w:val="91"/>
        </w:trPr>
        <w:tc>
          <w:tcPr>
            <w:tcW w:w="4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translation differences</w:t>
            </w:r>
          </w:p>
        </w:tc>
        <w:tc>
          <w:tcPr>
            <w:tcW w:w="13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91"/>
        </w:trPr>
        <w:tc>
          <w:tcPr>
            <w:tcW w:w="47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1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250</w:t>
            </w:r>
          </w:p>
        </w:tc>
        <w:tc>
          <w:tcPr>
            <w:tcW w:w="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(252)</w:t>
            </w:r>
          </w:p>
        </w:tc>
        <w:tc>
          <w:tcPr>
            <w:tcW w:w="0" w:type="dxa"/>
            <w:vAlign w:val="bottom"/>
          </w:tcPr>
          <w:p>
            <w:pPr>
              <w:spacing w:after="0"/>
              <w:rPr>
                <w:sz w:val="1"/>
                <w:szCs w:val="1"/>
                <w:color w:val="auto"/>
              </w:rPr>
            </w:pPr>
          </w:p>
        </w:tc>
      </w:tr>
      <w:tr>
        <w:trPr>
          <w:trHeight w:val="272"/>
        </w:trPr>
        <w:tc>
          <w:tcPr>
            <w:tcW w:w="4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comprehensive income (loss) for the period</w:t>
            </w:r>
          </w:p>
        </w:tc>
        <w:tc>
          <w:tcPr>
            <w:tcW w:w="1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(52,119)</w:t>
            </w:r>
          </w:p>
        </w:tc>
        <w:tc>
          <w:tcPr>
            <w:tcW w:w="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(48,720)</w:t>
            </w:r>
          </w:p>
        </w:tc>
        <w:tc>
          <w:tcPr>
            <w:tcW w:w="0" w:type="dxa"/>
            <w:vAlign w:val="bottom"/>
          </w:tcPr>
          <w:p>
            <w:pPr>
              <w:spacing w:after="0"/>
              <w:rPr>
                <w:sz w:val="1"/>
                <w:szCs w:val="1"/>
                <w:color w:val="auto"/>
              </w:rPr>
            </w:pPr>
          </w:p>
        </w:tc>
      </w:tr>
      <w:tr>
        <w:trPr>
          <w:trHeight w:val="89"/>
        </w:trPr>
        <w:tc>
          <w:tcPr>
            <w:tcW w:w="4760" w:type="dxa"/>
            <w:vAlign w:val="bottom"/>
            <w:tcBorders>
              <w:bottom w:val="single" w:sz="8" w:color="CCEEFF"/>
            </w:tcBorders>
            <w:shd w:val="clear" w:color="auto" w:fill="CCEEFF"/>
          </w:tcPr>
          <w:p>
            <w:pPr>
              <w:spacing w:after="0"/>
              <w:rPr>
                <w:sz w:val="7"/>
                <w:szCs w:val="7"/>
                <w:color w:val="auto"/>
              </w:rPr>
            </w:pPr>
          </w:p>
        </w:tc>
        <w:tc>
          <w:tcPr>
            <w:tcW w:w="134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9019"/>
          </w:cols>
          <w:pgMar w:left="1440" w:top="1440" w:right="1440" w:bottom="1440" w:gutter="0" w:footer="0" w:header="0"/>
          <w:type w:val="continuous"/>
        </w:sectPr>
      </w:pPr>
    </w:p>
    <w:bookmarkStart w:id="20" w:name="page21"/>
    <w:bookmarkEnd w:id="20"/>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b w:val="1"/>
          <w:bCs w:val="1"/>
          <w:color w:val="auto"/>
        </w:rPr>
        <w:t>ABIVAX SA UNAUDITED CONDENSED CONSOLIDATED STATEMENTS OF CHANGES IN SHAREHOLDERS’ EQ UITY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NUMBER OF</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PREMIUMS</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NET LOSS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TOTAL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RELATED TO</w:t>
            </w: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TRANSLATION</w:t>
            </w: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6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SHARES</w:t>
            </w:r>
          </w:p>
        </w:tc>
        <w:tc>
          <w:tcPr>
            <w:tcW w:w="98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FOR THE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SHAREHOLDER</w:t>
            </w:r>
          </w:p>
        </w:tc>
        <w:tc>
          <w:tcPr>
            <w:tcW w:w="0" w:type="dxa"/>
            <w:vAlign w:val="bottom"/>
          </w:tcPr>
          <w:p>
            <w:pPr>
              <w:spacing w:after="0"/>
              <w:rPr>
                <w:sz w:val="1"/>
                <w:szCs w:val="1"/>
                <w:color w:val="auto"/>
              </w:rPr>
            </w:pPr>
          </w:p>
        </w:tc>
      </w:tr>
      <w:tr>
        <w:trPr>
          <w:trHeight w:val="68"/>
        </w:trPr>
        <w:tc>
          <w:tcPr>
            <w:tcW w:w="2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i w:val="1"/>
                <w:iCs w:val="1"/>
                <w:color w:val="auto"/>
              </w:rPr>
              <w:t>(In thousands of euros, except number of</w:t>
            </w:r>
          </w:p>
        </w:tc>
        <w:tc>
          <w:tcPr>
            <w:tcW w:w="68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RESERVE</w:t>
            </w: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6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3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ISSUED</w:t>
            </w:r>
          </w:p>
        </w:tc>
        <w:tc>
          <w:tcPr>
            <w:tcW w:w="98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YEAR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 EQUITY</w:t>
            </w:r>
          </w:p>
        </w:tc>
        <w:tc>
          <w:tcPr>
            <w:tcW w:w="0" w:type="dxa"/>
            <w:vAlign w:val="bottom"/>
          </w:tcPr>
          <w:p>
            <w:pPr>
              <w:spacing w:after="0"/>
              <w:rPr>
                <w:sz w:val="1"/>
                <w:szCs w:val="1"/>
                <w:color w:val="auto"/>
              </w:rPr>
            </w:pPr>
          </w:p>
        </w:tc>
      </w:tr>
      <w:tr>
        <w:trPr>
          <w:trHeight w:val="85"/>
        </w:trPr>
        <w:tc>
          <w:tcPr>
            <w:tcW w:w="2340" w:type="dxa"/>
            <w:vAlign w:val="bottom"/>
            <w:vMerge w:val="restart"/>
          </w:tcPr>
          <w:p>
            <w:pPr>
              <w:ind w:left="1000"/>
              <w:spacing w:after="0"/>
              <w:rPr>
                <w:sz w:val="20"/>
                <w:szCs w:val="20"/>
                <w:color w:val="auto"/>
              </w:rPr>
            </w:pPr>
            <w:r>
              <w:rPr>
                <w:rFonts w:ascii="Times New Roman" w:cs="Times New Roman" w:eastAsia="Times New Roman" w:hAnsi="Times New Roman"/>
                <w:sz w:val="13"/>
                <w:szCs w:val="13"/>
                <w:i w:val="1"/>
                <w:iCs w:val="1"/>
                <w:color w:val="auto"/>
              </w:rPr>
              <w:t>shares)</w:t>
            </w:r>
          </w:p>
        </w:tc>
        <w:tc>
          <w:tcPr>
            <w:tcW w:w="6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3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3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6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63,347,837</w:t>
            </w:r>
          </w:p>
        </w:tc>
        <w:tc>
          <w:tcPr>
            <w:tcW w:w="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633</w:t>
            </w:r>
          </w:p>
        </w:tc>
        <w:tc>
          <w:tcPr>
            <w:tcW w:w="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478,905</w:t>
            </w:r>
          </w:p>
        </w:tc>
        <w:tc>
          <w:tcPr>
            <w:tcW w:w="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w:t>
            </w:r>
          </w:p>
        </w:tc>
        <w:tc>
          <w:tcPr>
            <w:tcW w:w="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(262,637)</w:t>
            </w:r>
          </w:p>
        </w:tc>
        <w:tc>
          <w:tcPr>
            <w:tcW w:w="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(176,242)</w:t>
            </w:r>
          </w:p>
        </w:tc>
        <w:tc>
          <w:tcPr>
            <w:tcW w:w="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40,584</w:t>
            </w:r>
          </w:p>
        </w:tc>
        <w:tc>
          <w:tcPr>
            <w:tcW w:w="0" w:type="dxa"/>
            <w:vAlign w:val="bottom"/>
          </w:tcPr>
          <w:p>
            <w:pPr>
              <w:spacing w:after="0"/>
              <w:rPr>
                <w:sz w:val="1"/>
                <w:szCs w:val="1"/>
                <w:color w:val="auto"/>
              </w:rPr>
            </w:pPr>
          </w:p>
        </w:tc>
      </w:tr>
      <w:tr>
        <w:trPr>
          <w:trHeight w:val="85"/>
        </w:trPr>
        <w:tc>
          <w:tcPr>
            <w:tcW w:w="23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JANUARY 1, 2025</w:t>
            </w:r>
          </w:p>
        </w:tc>
        <w:tc>
          <w:tcPr>
            <w:tcW w:w="68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340" w:type="dxa"/>
            <w:vAlign w:val="bottom"/>
            <w:vMerge w:val="continue"/>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 for the period</w:t>
            </w:r>
          </w:p>
        </w:tc>
        <w:tc>
          <w:tcPr>
            <w:tcW w:w="6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(52,370)</w:t>
            </w:r>
          </w:p>
        </w:tc>
        <w:tc>
          <w:tcPr>
            <w:tcW w:w="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(52,370)</w:t>
            </w:r>
          </w:p>
        </w:tc>
        <w:tc>
          <w:tcPr>
            <w:tcW w:w="0" w:type="dxa"/>
            <w:vAlign w:val="bottom"/>
          </w:tcPr>
          <w:p>
            <w:pPr>
              <w:spacing w:after="0"/>
              <w:rPr>
                <w:sz w:val="1"/>
                <w:szCs w:val="1"/>
                <w:color w:val="auto"/>
              </w:rPr>
            </w:pPr>
          </w:p>
        </w:tc>
      </w:tr>
      <w:tr>
        <w:trPr>
          <w:trHeight w:val="197"/>
        </w:trPr>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16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Total comprehensive loss for the period</w:t>
            </w:r>
          </w:p>
        </w:tc>
        <w:tc>
          <w:tcPr>
            <w:tcW w:w="6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211</w:t>
            </w:r>
          </w:p>
        </w:tc>
        <w:tc>
          <w:tcPr>
            <w:tcW w:w="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w:t>
            </w:r>
          </w:p>
        </w:tc>
        <w:tc>
          <w:tcPr>
            <w:tcW w:w="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(52,370)</w:t>
            </w:r>
          </w:p>
        </w:tc>
        <w:tc>
          <w:tcPr>
            <w:tcW w:w="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(52,119)</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Appropriation of prior period net loss</w:t>
            </w:r>
          </w:p>
        </w:tc>
        <w:tc>
          <w:tcPr>
            <w:tcW w:w="6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(176,242)</w:t>
            </w: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176,242</w:t>
            </w:r>
          </w:p>
        </w:tc>
        <w:tc>
          <w:tcPr>
            <w:tcW w:w="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4"/>
        </w:trPr>
        <w:tc>
          <w:tcPr>
            <w:tcW w:w="2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Exercises of other share warrants</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13.2, 14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211"/>
        </w:trPr>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Issue of free shares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14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70,912</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2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Shares based compensation expense</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4,692</w:t>
            </w:r>
          </w:p>
        </w:tc>
        <w:tc>
          <w:tcPr>
            <w:tcW w:w="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4,692</w:t>
            </w:r>
          </w:p>
        </w:tc>
        <w:tc>
          <w:tcPr>
            <w:tcW w:w="0" w:type="dxa"/>
            <w:vAlign w:val="bottom"/>
          </w:tcPr>
          <w:p>
            <w:pPr>
              <w:spacing w:after="0"/>
              <w:rPr>
                <w:sz w:val="1"/>
                <w:szCs w:val="1"/>
                <w:color w:val="auto"/>
              </w:rPr>
            </w:pPr>
          </w:p>
        </w:tc>
      </w:tr>
      <w:tr>
        <w:trPr>
          <w:trHeight w:val="169"/>
        </w:trPr>
        <w:tc>
          <w:tcPr>
            <w:tcW w:w="23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6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63,418,749</w:t>
            </w:r>
          </w:p>
        </w:tc>
        <w:tc>
          <w:tcPr>
            <w:tcW w:w="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634</w:t>
            </w:r>
          </w:p>
        </w:tc>
        <w:tc>
          <w:tcPr>
            <w:tcW w:w="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479,155</w:t>
            </w:r>
          </w:p>
        </w:tc>
        <w:tc>
          <w:tcPr>
            <w:tcW w:w="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136</w:t>
            </w:r>
          </w:p>
        </w:tc>
        <w:tc>
          <w:tcPr>
            <w:tcW w:w="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(434,147)</w:t>
            </w:r>
          </w:p>
        </w:tc>
        <w:tc>
          <w:tcPr>
            <w:tcW w:w="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(52,370)</w:t>
            </w:r>
          </w:p>
        </w:tc>
        <w:tc>
          <w:tcPr>
            <w:tcW w:w="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(6,591)</w:t>
            </w:r>
          </w:p>
        </w:tc>
        <w:tc>
          <w:tcPr>
            <w:tcW w:w="0" w:type="dxa"/>
            <w:vAlign w:val="bottom"/>
          </w:tcPr>
          <w:p>
            <w:pPr>
              <w:spacing w:after="0"/>
              <w:rPr>
                <w:sz w:val="1"/>
                <w:szCs w:val="1"/>
                <w:color w:val="auto"/>
              </w:rPr>
            </w:pPr>
          </w:p>
        </w:tc>
      </w:tr>
      <w:tr>
        <w:trPr>
          <w:trHeight w:val="85"/>
        </w:trPr>
        <w:tc>
          <w:tcPr>
            <w:tcW w:w="23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68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40" w:type="dxa"/>
            <w:vAlign w:val="bottom"/>
            <w:vMerge w:val="continue"/>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6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78,536,412</w:t>
            </w:r>
          </w:p>
        </w:tc>
        <w:tc>
          <w:tcPr>
            <w:tcW w:w="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785</w:t>
            </w:r>
          </w:p>
        </w:tc>
        <w:tc>
          <w:tcPr>
            <w:tcW w:w="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1,190,593</w:t>
            </w:r>
          </w:p>
        </w:tc>
        <w:tc>
          <w:tcPr>
            <w:tcW w:w="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2,309</w:t>
            </w:r>
          </w:p>
        </w:tc>
        <w:tc>
          <w:tcPr>
            <w:tcW w:w="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(402,380)</w:t>
            </w:r>
          </w:p>
        </w:tc>
        <w:tc>
          <w:tcPr>
            <w:tcW w:w="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(336,102)</w:t>
            </w:r>
          </w:p>
        </w:tc>
        <w:tc>
          <w:tcPr>
            <w:tcW w:w="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455,205</w:t>
            </w:r>
          </w:p>
        </w:tc>
        <w:tc>
          <w:tcPr>
            <w:tcW w:w="0" w:type="dxa"/>
            <w:vAlign w:val="bottom"/>
          </w:tcPr>
          <w:p>
            <w:pPr>
              <w:spacing w:after="0"/>
              <w:rPr>
                <w:sz w:val="1"/>
                <w:szCs w:val="1"/>
                <w:color w:val="auto"/>
              </w:rPr>
            </w:pPr>
          </w:p>
        </w:tc>
      </w:tr>
      <w:tr>
        <w:trPr>
          <w:trHeight w:val="85"/>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6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340" w:type="dxa"/>
            <w:vAlign w:val="bottom"/>
            <w:tcBorders>
              <w:bottom w:val="single" w:sz="8" w:color="CCEEFF"/>
            </w:tcBorders>
            <w:vMerge w:val="continue"/>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Net loss for the period</w:t>
            </w:r>
          </w:p>
        </w:tc>
        <w:tc>
          <w:tcPr>
            <w:tcW w:w="6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(48,468)</w:t>
            </w:r>
          </w:p>
        </w:tc>
        <w:tc>
          <w:tcPr>
            <w:tcW w:w="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(48,468)</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16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Total comprehensive loss for the period</w:t>
            </w:r>
          </w:p>
        </w:tc>
        <w:tc>
          <w:tcPr>
            <w:tcW w:w="6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(280)</w:t>
            </w:r>
          </w:p>
        </w:tc>
        <w:tc>
          <w:tcPr>
            <w:tcW w:w="6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6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(48,468)</w:t>
            </w:r>
          </w:p>
        </w:tc>
        <w:tc>
          <w:tcPr>
            <w:tcW w:w="4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(48,720)</w:t>
            </w:r>
          </w:p>
        </w:tc>
        <w:tc>
          <w:tcPr>
            <w:tcW w:w="0" w:type="dxa"/>
            <w:vAlign w:val="bottom"/>
          </w:tcPr>
          <w:p>
            <w:pPr>
              <w:spacing w:after="0"/>
              <w:rPr>
                <w:sz w:val="1"/>
                <w:szCs w:val="1"/>
                <w:color w:val="auto"/>
              </w:rPr>
            </w:pPr>
          </w:p>
        </w:tc>
      </w:tr>
      <w:tr>
        <w:trPr>
          <w:trHeight w:val="181"/>
        </w:trPr>
        <w:tc>
          <w:tcPr>
            <w:tcW w:w="2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Appropriation of prior period net loss</w:t>
            </w:r>
          </w:p>
        </w:tc>
        <w:tc>
          <w:tcPr>
            <w:tcW w:w="6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(336,102)</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336,102</w:t>
            </w:r>
          </w:p>
        </w:tc>
        <w:tc>
          <w:tcPr>
            <w:tcW w:w="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Issue of share warrants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14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0" w:type="dxa"/>
            <w:vAlign w:val="bottom"/>
          </w:tcPr>
          <w:p>
            <w:pPr>
              <w:spacing w:after="0"/>
              <w:rPr>
                <w:sz w:val="1"/>
                <w:szCs w:val="1"/>
                <w:color w:val="auto"/>
              </w:rPr>
            </w:pPr>
          </w:p>
        </w:tc>
      </w:tr>
      <w:tr>
        <w:trPr>
          <w:trHeight w:val="195"/>
        </w:trPr>
        <w:tc>
          <w:tcPr>
            <w:tcW w:w="2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Exercises of share warrants</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13.2, 14</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2,540</w:t>
            </w:r>
          </w:p>
        </w:tc>
        <w:tc>
          <w:tcPr>
            <w:tcW w:w="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Issue of free shares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14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752,236</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2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Shares based compensation expense</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22,610</w:t>
            </w:r>
          </w:p>
        </w:tc>
        <w:tc>
          <w:tcPr>
            <w:tcW w:w="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22,610</w:t>
            </w:r>
          </w:p>
        </w:tc>
        <w:tc>
          <w:tcPr>
            <w:tcW w:w="0" w:type="dxa"/>
            <w:vAlign w:val="bottom"/>
          </w:tcPr>
          <w:p>
            <w:pPr>
              <w:spacing w:after="0"/>
              <w:rPr>
                <w:sz w:val="1"/>
                <w:szCs w:val="1"/>
                <w:color w:val="auto"/>
              </w:rPr>
            </w:pPr>
          </w:p>
        </w:tc>
      </w:tr>
      <w:tr>
        <w:trPr>
          <w:trHeight w:val="169"/>
        </w:trPr>
        <w:tc>
          <w:tcPr>
            <w:tcW w:w="23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68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13.1</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79,291,188</w:t>
            </w:r>
          </w:p>
        </w:tc>
        <w:tc>
          <w:tcPr>
            <w:tcW w:w="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793</w:t>
            </w:r>
          </w:p>
        </w:tc>
        <w:tc>
          <w:tcPr>
            <w:tcW w:w="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1,191,083</w:t>
            </w:r>
          </w:p>
        </w:tc>
        <w:tc>
          <w:tcPr>
            <w:tcW w:w="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2,029</w:t>
            </w:r>
          </w:p>
        </w:tc>
        <w:tc>
          <w:tcPr>
            <w:tcW w:w="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(715,843)</w:t>
            </w:r>
          </w:p>
        </w:tc>
        <w:tc>
          <w:tcPr>
            <w:tcW w:w="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(48,468)</w:t>
            </w:r>
          </w:p>
        </w:tc>
        <w:tc>
          <w:tcPr>
            <w:tcW w:w="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429,594</w:t>
            </w:r>
          </w:p>
        </w:tc>
        <w:tc>
          <w:tcPr>
            <w:tcW w:w="0" w:type="dxa"/>
            <w:vAlign w:val="bottom"/>
          </w:tcPr>
          <w:p>
            <w:pPr>
              <w:spacing w:after="0"/>
              <w:rPr>
                <w:sz w:val="1"/>
                <w:szCs w:val="1"/>
                <w:color w:val="auto"/>
              </w:rPr>
            </w:pPr>
          </w:p>
        </w:tc>
      </w:tr>
      <w:tr>
        <w:trPr>
          <w:trHeight w:val="85"/>
        </w:trPr>
        <w:tc>
          <w:tcPr>
            <w:tcW w:w="23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680" w:type="dxa"/>
            <w:vAlign w:val="bottom"/>
            <w:vMerge w:val="continue"/>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340" w:type="dxa"/>
            <w:vAlign w:val="bottom"/>
            <w:vMerge w:val="continue"/>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320"/>
          </w:cols>
          <w:pgMar w:left="700" w:top="144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0320"/>
          </w:cols>
          <w:pgMar w:left="700" w:top="1440" w:right="879" w:bottom="1440" w:gutter="0" w:footer="0" w:header="0"/>
          <w:type w:val="continuous"/>
        </w:sectPr>
      </w:pPr>
    </w:p>
    <w:bookmarkStart w:id="21" w:name="page22"/>
    <w:bookmarkEnd w:id="21"/>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ABIVAX SA UNAUDITED CONDENSED CONSOLIDATED STATEMENTS OF CASH FLOW S</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w:t>
            </w:r>
          </w:p>
        </w:tc>
        <w:tc>
          <w:tcPr>
            <w:tcW w:w="0" w:type="dxa"/>
            <w:vAlign w:val="bottom"/>
          </w:tcPr>
          <w:p>
            <w:pPr>
              <w:spacing w:after="0"/>
              <w:rPr>
                <w:sz w:val="1"/>
                <w:szCs w:val="1"/>
                <w:color w:val="auto"/>
              </w:rPr>
            </w:pPr>
          </w:p>
        </w:tc>
      </w:tr>
      <w:tr>
        <w:trPr>
          <w:trHeight w:val="175"/>
        </w:trPr>
        <w:tc>
          <w:tcPr>
            <w:tcW w:w="456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color w:val="auto"/>
              </w:rPr>
              <w:t>(Amounts in thousands of euros)</w:t>
            </w:r>
          </w:p>
        </w:tc>
        <w:tc>
          <w:tcPr>
            <w:tcW w:w="10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96"/>
        </w:trPr>
        <w:tc>
          <w:tcPr>
            <w:tcW w:w="45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1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80"/>
        </w:trPr>
        <w:tc>
          <w:tcPr>
            <w:tcW w:w="4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5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Cash flows provided by (used in) operating activities</w:t>
            </w: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loss for the period</w:t>
            </w:r>
          </w:p>
        </w:tc>
        <w:tc>
          <w:tcPr>
            <w:tcW w:w="10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(52,370)</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(48,468)</w:t>
            </w:r>
          </w:p>
        </w:tc>
        <w:tc>
          <w:tcPr>
            <w:tcW w:w="0" w:type="dxa"/>
            <w:vAlign w:val="bottom"/>
          </w:tcPr>
          <w:p>
            <w:pPr>
              <w:spacing w:after="0"/>
              <w:rPr>
                <w:sz w:val="1"/>
                <w:szCs w:val="1"/>
                <w:color w:val="auto"/>
              </w:rPr>
            </w:pPr>
          </w:p>
        </w:tc>
      </w:tr>
      <w:tr>
        <w:trPr>
          <w:trHeight w:val="221"/>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Adjustments for:</w:t>
            </w: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Amortization of intangibles and depreciation of property, plant and</w:t>
            </w:r>
          </w:p>
        </w:tc>
        <w:tc>
          <w:tcPr>
            <w:tcW w:w="10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107"/>
        </w:trPr>
        <w:tc>
          <w:tcPr>
            <w:tcW w:w="4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equipment</w:t>
            </w:r>
          </w:p>
        </w:tc>
        <w:tc>
          <w:tcPr>
            <w:tcW w:w="10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56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Retirement benefit obligations</w:t>
            </w: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3"/>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Share-based compensation expenses</w:t>
            </w:r>
          </w:p>
        </w:tc>
        <w:tc>
          <w:tcPr>
            <w:tcW w:w="10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14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4,689</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22,610</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gain on sale of treasury shares</w:t>
            </w:r>
          </w:p>
        </w:tc>
        <w:tc>
          <w:tcPr>
            <w:tcW w:w="10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expenses and other financial expenses</w:t>
            </w:r>
          </w:p>
        </w:tc>
        <w:tc>
          <w:tcPr>
            <w:tcW w:w="10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Financial income</w:t>
            </w: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(12,633)</w:t>
            </w:r>
          </w:p>
        </w:tc>
        <w:tc>
          <w:tcPr>
            <w:tcW w:w="0" w:type="dxa"/>
            <w:vAlign w:val="bottom"/>
          </w:tcPr>
          <w:p>
            <w:pPr>
              <w:spacing w:after="0"/>
              <w:rPr>
                <w:sz w:val="1"/>
                <w:szCs w:val="1"/>
                <w:color w:val="auto"/>
              </w:rPr>
            </w:pPr>
          </w:p>
        </w:tc>
      </w:tr>
      <w:tr>
        <w:trPr>
          <w:trHeight w:val="203"/>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Effect of unwinding the discount related to advances</w:t>
            </w:r>
          </w:p>
        </w:tc>
        <w:tc>
          <w:tcPr>
            <w:tcW w:w="10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Increase/(decrease) in derivatives and liabilities measured at fair value</w:t>
            </w: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15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Changes in provisions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17.3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Current and deferred tax expenses</w:t>
            </w:r>
          </w:p>
        </w:tc>
        <w:tc>
          <w:tcPr>
            <w:tcW w:w="10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98"/>
        </w:trPr>
        <w:tc>
          <w:tcPr>
            <w:tcW w:w="4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3"/>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Cash flows provided by (used in) operating activities before change in</w:t>
            </w:r>
          </w:p>
        </w:tc>
        <w:tc>
          <w:tcPr>
            <w:tcW w:w="10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(42,289)</w:t>
            </w:r>
          </w:p>
        </w:tc>
        <w:tc>
          <w:tcPr>
            <w:tcW w:w="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(45,545)</w:t>
            </w:r>
          </w:p>
        </w:tc>
        <w:tc>
          <w:tcPr>
            <w:tcW w:w="0" w:type="dxa"/>
            <w:vAlign w:val="bottom"/>
          </w:tcPr>
          <w:p>
            <w:pPr>
              <w:spacing w:after="0"/>
              <w:rPr>
                <w:sz w:val="1"/>
                <w:szCs w:val="1"/>
                <w:color w:val="auto"/>
              </w:rPr>
            </w:pPr>
          </w:p>
        </w:tc>
      </w:tr>
      <w:tr>
        <w:trPr>
          <w:trHeight w:val="109"/>
        </w:trPr>
        <w:tc>
          <w:tcPr>
            <w:tcW w:w="45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working capital requirements</w:t>
            </w:r>
          </w:p>
        </w:tc>
        <w:tc>
          <w:tcPr>
            <w:tcW w:w="102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560" w:type="dxa"/>
            <w:vAlign w:val="bottom"/>
            <w:tcBorders>
              <w:bottom w:val="single" w:sz="8" w:color="CCEEFF"/>
            </w:tcBorders>
            <w:vMerge w:val="continue"/>
            <w:shd w:val="clear" w:color="auto" w:fill="CCEEFF"/>
          </w:tcPr>
          <w:p>
            <w:pPr>
              <w:spacing w:after="0"/>
              <w:rPr>
                <w:sz w:val="7"/>
                <w:szCs w:val="7"/>
                <w:color w:val="auto"/>
              </w:rPr>
            </w:pPr>
          </w:p>
        </w:tc>
        <w:tc>
          <w:tcPr>
            <w:tcW w:w="1020" w:type="dxa"/>
            <w:vAlign w:val="bottom"/>
            <w:tcBorders>
              <w:bottom w:val="single" w:sz="8" w:color="CCEEFF"/>
            </w:tcBorders>
            <w:shd w:val="clear" w:color="auto" w:fill="CCEEFF"/>
          </w:tcPr>
          <w:p>
            <w:pPr>
              <w:spacing w:after="0"/>
              <w:rPr>
                <w:sz w:val="7"/>
                <w:szCs w:val="7"/>
                <w:color w:val="auto"/>
              </w:rPr>
            </w:pPr>
          </w:p>
        </w:tc>
        <w:tc>
          <w:tcPr>
            <w:tcW w:w="11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Decrease / (increase) in other receivables and related accounts</w:t>
            </w:r>
          </w:p>
        </w:tc>
        <w:tc>
          <w:tcPr>
            <w:tcW w:w="1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Increase / (decrease) in trade payables</w:t>
            </w: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12,754</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(8,048)</w:t>
            </w:r>
          </w:p>
        </w:tc>
        <w:tc>
          <w:tcPr>
            <w:tcW w:w="0" w:type="dxa"/>
            <w:vAlign w:val="bottom"/>
          </w:tcPr>
          <w:p>
            <w:pPr>
              <w:spacing w:after="0"/>
              <w:rPr>
                <w:sz w:val="1"/>
                <w:szCs w:val="1"/>
                <w:color w:val="auto"/>
              </w:rPr>
            </w:pPr>
          </w:p>
        </w:tc>
      </w:tr>
      <w:tr>
        <w:trPr>
          <w:trHeight w:val="211"/>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Increase / (decrease) in tax and social security liabilities</w:t>
            </w:r>
          </w:p>
        </w:tc>
        <w:tc>
          <w:tcPr>
            <w:tcW w:w="10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6,557</w:t>
            </w:r>
          </w:p>
        </w:tc>
        <w:tc>
          <w:tcPr>
            <w:tcW w:w="0" w:type="dxa"/>
            <w:vAlign w:val="bottom"/>
          </w:tcPr>
          <w:p>
            <w:pPr>
              <w:spacing w:after="0"/>
              <w:rPr>
                <w:sz w:val="1"/>
                <w:szCs w:val="1"/>
                <w:color w:val="auto"/>
              </w:rPr>
            </w:pPr>
          </w:p>
        </w:tc>
      </w:tr>
      <w:tr>
        <w:trPr>
          <w:trHeight w:val="221"/>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 in deferred income and other liabilities</w:t>
            </w:r>
          </w:p>
        </w:tc>
        <w:tc>
          <w:tcPr>
            <w:tcW w:w="10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Changes in working capital requirements</w:t>
            </w:r>
          </w:p>
        </w:tc>
        <w:tc>
          <w:tcPr>
            <w:tcW w:w="10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9,011</w:t>
            </w: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(4,974)</w:t>
            </w:r>
          </w:p>
        </w:tc>
        <w:tc>
          <w:tcPr>
            <w:tcW w:w="0" w:type="dxa"/>
            <w:vAlign w:val="bottom"/>
          </w:tcPr>
          <w:p>
            <w:pPr>
              <w:spacing w:after="0"/>
              <w:rPr>
                <w:sz w:val="1"/>
                <w:szCs w:val="1"/>
                <w:color w:val="auto"/>
              </w:rPr>
            </w:pPr>
          </w:p>
        </w:tc>
      </w:tr>
      <w:tr>
        <w:trPr>
          <w:trHeight w:val="201"/>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Income taxes paid</w:t>
            </w:r>
          </w:p>
        </w:tc>
        <w:tc>
          <w:tcPr>
            <w:tcW w:w="10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Cash flows provided by (used in) operating activities</w:t>
            </w:r>
          </w:p>
        </w:tc>
        <w:tc>
          <w:tcPr>
            <w:tcW w:w="102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(33,278)</w:t>
            </w:r>
          </w:p>
        </w:tc>
        <w:tc>
          <w:tcPr>
            <w:tcW w:w="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(50,519)</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Cash flows provided by (used in) investing activities</w:t>
            </w:r>
          </w:p>
        </w:tc>
        <w:tc>
          <w:tcPr>
            <w:tcW w:w="10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10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Advances reimbursed by / (made to) CROs</w:t>
            </w:r>
          </w:p>
        </w:tc>
        <w:tc>
          <w:tcPr>
            <w:tcW w:w="10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10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1"/>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Increase in deposits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Decrease in deposits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4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Interest received</w:t>
            </w:r>
          </w:p>
        </w:tc>
        <w:tc>
          <w:tcPr>
            <w:tcW w:w="10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199"/>
        </w:trPr>
        <w:tc>
          <w:tcPr>
            <w:tcW w:w="4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Cash flows provided by (used in) investing activities</w:t>
            </w:r>
          </w:p>
        </w:tc>
        <w:tc>
          <w:tcPr>
            <w:tcW w:w="10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1,082</w:t>
            </w: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495</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 flows provided by (used in) financing activities</w:t>
            </w:r>
          </w:p>
        </w:tc>
        <w:tc>
          <w:tcPr>
            <w:tcW w:w="1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5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Exercise of warrants</w:t>
            </w: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14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1"/>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Warrants subscription</w:t>
            </w:r>
          </w:p>
        </w:tc>
        <w:tc>
          <w:tcPr>
            <w:tcW w:w="10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221"/>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Repayments of convertible loan notes</w:t>
            </w: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15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Repayments of non-convertible bond loans</w:t>
            </w:r>
          </w:p>
        </w:tc>
        <w:tc>
          <w:tcPr>
            <w:tcW w:w="10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15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(3,705)</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Payments of the lease liabilities</w:t>
            </w: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15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211"/>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paid</w:t>
            </w:r>
          </w:p>
        </w:tc>
        <w:tc>
          <w:tcPr>
            <w:tcW w:w="10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15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1"/>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6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Cash flows provided by (used in) financing activities</w:t>
            </w:r>
          </w:p>
        </w:tc>
        <w:tc>
          <w:tcPr>
            <w:tcW w:w="102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(7,837)</w:t>
            </w:r>
          </w:p>
        </w:tc>
        <w:tc>
          <w:tcPr>
            <w:tcW w:w="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Effect of movements in exchange rates on cash held</w:t>
            </w: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7,415</w:t>
            </w:r>
          </w:p>
        </w:tc>
        <w:tc>
          <w:tcPr>
            <w:tcW w:w="0" w:type="dxa"/>
            <w:vAlign w:val="bottom"/>
          </w:tcPr>
          <w:p>
            <w:pPr>
              <w:spacing w:after="0"/>
              <w:rPr>
                <w:sz w:val="1"/>
                <w:szCs w:val="1"/>
                <w:color w:val="auto"/>
              </w:rPr>
            </w:pPr>
          </w:p>
        </w:tc>
      </w:tr>
      <w:tr>
        <w:trPr>
          <w:trHeight w:val="211"/>
        </w:trPr>
        <w:tc>
          <w:tcPr>
            <w:tcW w:w="4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Revaluation of cash equivalents measured at fair value</w:t>
            </w:r>
          </w:p>
        </w:tc>
        <w:tc>
          <w:tcPr>
            <w:tcW w:w="1020" w:type="dxa"/>
            <w:vAlign w:val="bottom"/>
            <w:tcBorders>
              <w:bottom w:val="single" w:sz="8" w:color="CCEEFF"/>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11 &amp; 21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0" w:type="dxa"/>
            <w:vAlign w:val="bottom"/>
          </w:tcPr>
          <w:p>
            <w:pPr>
              <w:spacing w:after="0"/>
              <w:rPr>
                <w:sz w:val="1"/>
                <w:szCs w:val="1"/>
                <w:color w:val="auto"/>
              </w:rPr>
            </w:pPr>
          </w:p>
        </w:tc>
      </w:tr>
      <w:tr>
        <w:trPr>
          <w:trHeight w:val="199"/>
        </w:trPr>
        <w:tc>
          <w:tcPr>
            <w:tcW w:w="4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Increase (decrease) in cash and cash equivalents</w:t>
            </w:r>
          </w:p>
        </w:tc>
        <w:tc>
          <w:tcPr>
            <w:tcW w:w="10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(40,646)</w:t>
            </w: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(39,262)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Cash and cash equivalents at the beginning of the year</w:t>
            </w:r>
          </w:p>
        </w:tc>
        <w:tc>
          <w:tcPr>
            <w:tcW w:w="102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11</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144,221</w:t>
            </w:r>
          </w:p>
        </w:tc>
        <w:tc>
          <w:tcPr>
            <w:tcW w:w="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516,685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and cash equivalents at the end of the year</w:t>
            </w: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11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103,576</w:t>
            </w:r>
          </w:p>
        </w:tc>
        <w:tc>
          <w:tcPr>
            <w:tcW w:w="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477,423</w:t>
            </w:r>
          </w:p>
        </w:tc>
        <w:tc>
          <w:tcPr>
            <w:tcW w:w="0" w:type="dxa"/>
            <w:vAlign w:val="bottom"/>
          </w:tcPr>
          <w:p>
            <w:pPr>
              <w:spacing w:after="0"/>
              <w:rPr>
                <w:sz w:val="1"/>
                <w:szCs w:val="1"/>
                <w:color w:val="auto"/>
              </w:rPr>
            </w:pPr>
          </w:p>
        </w:tc>
      </w:tr>
      <w:tr>
        <w:trPr>
          <w:trHeight w:val="169"/>
        </w:trPr>
        <w:tc>
          <w:tcPr>
            <w:tcW w:w="4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Increase (decrease) in cash and cash equivalents</w:t>
            </w:r>
          </w:p>
        </w:tc>
        <w:tc>
          <w:tcPr>
            <w:tcW w:w="102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(40,646)</w:t>
            </w:r>
          </w:p>
        </w:tc>
        <w:tc>
          <w:tcPr>
            <w:tcW w:w="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(39,262)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9019"/>
          </w:cols>
          <w:pgMar w:left="1440" w:top="1440" w:right="1440" w:bottom="1440" w:gutter="0" w:footer="0" w:header="0"/>
          <w:type w:val="continuous"/>
        </w:sectPr>
      </w:pPr>
    </w:p>
    <w:bookmarkStart w:id="22" w:name="page23"/>
    <w:bookmarkEnd w:id="22"/>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b w:val="1"/>
          <w:bCs w:val="1"/>
          <w:color w:val="auto"/>
        </w:rPr>
        <w:t>ABIVAX SA NOTES TO THE UNAUDITED INTERIM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Group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1.1. Information on the Group and its business</w:t>
      </w:r>
    </w:p>
    <w:p>
      <w:pPr>
        <w:spacing w:after="0" w:line="18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ABIVAX SA (the “Company”) is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incorporated under the laws of France on December 4, 2013. Its registered office is located at 7-11 Boulevard Haussmann—75009 Paris, France. The Company is developing therapeutics designed to harness the body’s natural regulatory mechanisms to stabilize the immune response in patients with chronic inflammatory diseases.</w:t>
      </w:r>
    </w:p>
    <w:p>
      <w:pPr>
        <w:spacing w:after="0" w:line="175" w:lineRule="exact"/>
        <w:rPr>
          <w:sz w:val="20"/>
          <w:szCs w:val="20"/>
          <w:color w:val="auto"/>
        </w:rPr>
      </w:pPr>
    </w:p>
    <w:p>
      <w:pPr>
        <w:jc w:val="both"/>
        <w:ind w:right="360"/>
        <w:spacing w:after="0" w:line="250"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as of and for the three-month period ended March 31, 2026 comprise the Company and ABIVAX LLC (the “Subsidiary”), the United States subsidiary of ABIVAX SA, created on March 20, 2023 under the laws of the State of Delaware (together referred to as the “Group”).</w:t>
      </w:r>
    </w:p>
    <w:p>
      <w:pPr>
        <w:spacing w:after="0" w:line="17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Group has incurred losses since its inception and had shareholders’ equity of €429,594 thousand as of March 31, 2026. The Group anticipates incurring additional losses until such time, if ever, that it can generate significant revenue from its drug candidates which</w:t>
      </w:r>
    </w:p>
    <w:p>
      <w:pPr>
        <w:spacing w:after="0" w:line="2" w:lineRule="exact"/>
        <w:rPr>
          <w:sz w:val="20"/>
          <w:szCs w:val="20"/>
          <w:color w:val="auto"/>
        </w:rPr>
      </w:pPr>
    </w:p>
    <w:p>
      <w:pPr>
        <w:ind w:right="840"/>
        <w:spacing w:after="0" w:line="226" w:lineRule="auto"/>
        <w:rPr>
          <w:sz w:val="20"/>
          <w:szCs w:val="20"/>
          <w:color w:val="auto"/>
        </w:rPr>
      </w:pPr>
      <w:r>
        <w:rPr>
          <w:rFonts w:ascii="Times New Roman" w:cs="Times New Roman" w:eastAsia="Times New Roman" w:hAnsi="Times New Roman"/>
          <w:sz w:val="18"/>
          <w:szCs w:val="18"/>
          <w:color w:val="auto"/>
        </w:rPr>
        <w:t xml:space="preserve">are currently under development. Substantial additional financing will be needed by the Group to fund its operations and to commercially develop its drug candidates, if approved. See </w:t>
      </w:r>
      <w:r>
        <w:rPr>
          <w:rFonts w:ascii="Times New Roman" w:cs="Times New Roman" w:eastAsia="Times New Roman" w:hAnsi="Times New Roman"/>
          <w:sz w:val="18"/>
          <w:szCs w:val="18"/>
          <w:i w:val="1"/>
          <w:iCs w:val="1"/>
          <w:color w:val="auto"/>
        </w:rPr>
        <w:t>note 3.3. Subsequent event</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future operations are highly dependent on a combination of factors, including: (i) the success of its research and</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development activities; (ii) regulatory approval and market acceptance of its proposed future products; (iii) the timely and successful completion of additional financing and (iv) the development of competitive therapies by other biotechnology and pharmaceutical companies. As a result, the Group is, and expects to continue to be, in the short to mid-term, financed through the issuance of new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or debt instruments.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is focusing its efforts on the following points:</w:t>
      </w:r>
    </w:p>
    <w:p>
      <w:pPr>
        <w:spacing w:after="0" w:line="185" w:lineRule="exact"/>
        <w:rPr>
          <w:sz w:val="20"/>
          <w:szCs w:val="20"/>
          <w:color w:val="auto"/>
        </w:rPr>
      </w:pPr>
    </w:p>
    <w:p>
      <w:pPr>
        <w:ind w:left="660" w:hanging="332"/>
        <w:spacing w:after="0" w:line="24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Phase 3 clinical trial program (ABTECT) for obefazimod in moderately to severely active ulcerative colitis (“UC”).</w:t>
      </w:r>
    </w:p>
    <w:p>
      <w:pPr>
        <w:ind w:left="660" w:hanging="332"/>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the Phase 2b clinical trial (ENHANCE-CD) of obefazimod in Crohn’s disease (“CD”).</w:t>
      </w:r>
    </w:p>
    <w:p>
      <w:pPr>
        <w:ind w:left="660" w:hanging="332"/>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combination therapy candidates with obefazimod in UC.</w:t>
      </w:r>
    </w:p>
    <w:p>
      <w:pPr>
        <w:ind w:left="660" w:hanging="33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follow-on candidate for obefazimod.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1.2. Date of authorization of issuance</w:t>
      </w:r>
    </w:p>
    <w:p>
      <w:pPr>
        <w:spacing w:after="0" w:line="8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and related notes have been prepared under the responsibility of management of the Group and were approved and authorized for issuance by the Group’s board of directors on May 21, 2026.</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preparation</w:t>
      </w:r>
    </w:p>
    <w:p>
      <w:pPr>
        <w:spacing w:after="0" w:line="189"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Except for share data and per share amounts, the unaudited interim condensed consolidated financial statements are presented in thousands of euros. Amounts are rounded up or down the nearest whole number for the calculation of certain financial data and other information contained in these accounts. Accordingly, the total amounts presented in certain tables may not be the exact sum of the preceding figures.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ectPr>
          <w:pgSz w:w="11900" w:h="16838" w:orient="portrait"/>
          <w:cols w:equalWidth="0" w:num="1">
            <w:col w:w="9720"/>
          </w:cols>
          <w:pgMar w:left="1080" w:top="1440" w:right="1099" w:bottom="1440" w:gutter="0" w:footer="0" w:header="0"/>
          <w:type w:val="continuous"/>
        </w:sectPr>
      </w:pPr>
    </w:p>
    <w:bookmarkStart w:id="23" w:name="page24"/>
    <w:bookmarkEnd w:id="23"/>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Statement of compliance</w:t>
      </w:r>
    </w:p>
    <w:p>
      <w:pPr>
        <w:spacing w:after="0" w:line="20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as of March 31, 2026 and for the three-month periods ended March 31, 2026 and 2025 have been prepared in accordance with IAS 34 “Interim Financial Reporting” as issued by the International Accounting Standards Board ("IASB") and as adopted by the European Union (EU) and should be read in conjunction with the latest Group’s annual financial statements for the years ended December 31, 2023, 2024 and 2025, prepared in accordance with the International Financial Reporting Standards ("IFRS") as issued by IASB and as adopted by the EU.</w:t>
      </w:r>
    </w:p>
    <w:p>
      <w:pPr>
        <w:spacing w:after="0" w:line="17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They do not include all the information required for a complete set of financial statements prepared under IFRS. They do, however, include selected notes explaining significant events and transactions in order to understand the changes in the Group’s financial position and performance since the last annual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used to prepare these unaudited interim condensed financial statements are identical to those applied by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as of December 31, 2025, except for:</w:t>
      </w:r>
    </w:p>
    <w:p>
      <w:pPr>
        <w:ind w:left="660" w:hanging="332"/>
        <w:spacing w:after="0" w:line="233"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texts whose application is compulsory as from January 1, 2026;</w:t>
      </w:r>
    </w:p>
    <w:p>
      <w:pPr>
        <w:spacing w:after="0" w:line="2" w:lineRule="exact"/>
        <w:rPr>
          <w:rFonts w:ascii="Times New Roman" w:cs="Times New Roman" w:eastAsia="Times New Roman" w:hAnsi="Times New Roman"/>
          <w:sz w:val="22"/>
          <w:szCs w:val="22"/>
          <w:color w:val="auto"/>
        </w:rPr>
      </w:pPr>
    </w:p>
    <w:p>
      <w:pPr>
        <w:ind w:left="660" w:right="800" w:hanging="332"/>
        <w:spacing w:after="0" w:line="24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provisions of IAS 34 used in the preparation of the unaudited interim condensed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applied the following amendments that are effective for annual reporting periods beginning on or after January 1, 2026:</w:t>
      </w:r>
    </w:p>
    <w:p>
      <w:pPr>
        <w:spacing w:after="0" w:line="198" w:lineRule="exact"/>
        <w:rPr>
          <w:sz w:val="20"/>
          <w:szCs w:val="20"/>
          <w:color w:val="auto"/>
        </w:rPr>
      </w:pPr>
    </w:p>
    <w:p>
      <w:pPr>
        <w:ind w:left="660" w:right="600" w:hanging="332"/>
        <w:spacing w:after="0" w:line="23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9 Financial Instruments and IFRS 7 Financial Instruments: Disclosures – Amendments to the Classification and Measurement of Financial Instruments.</w:t>
      </w:r>
    </w:p>
    <w:p>
      <w:pPr>
        <w:ind w:left="660" w:right="6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clarify the timing of recognition and derecognition of financial assets and financial liabilities and introduce a derecognition exception that permits an entity to derecognize a financial liability before settlement date when the financial liability is settled with cash, using an electronic payment system that meets specific criteria. Adopting the amendments resulted in a change in the Group's accounting policy only for the derecognition of financial liabilities settled with cash using qualifying electronic payment systems, for which the Group has elected to apply the exception.</w:t>
      </w:r>
    </w:p>
    <w:p>
      <w:pPr>
        <w:spacing w:after="0" w:line="3" w:lineRule="exact"/>
        <w:rPr>
          <w:rFonts w:ascii="Times New Roman" w:cs="Times New Roman" w:eastAsia="Times New Roman" w:hAnsi="Times New Roman"/>
          <w:sz w:val="18"/>
          <w:szCs w:val="18"/>
          <w:color w:val="auto"/>
        </w:rPr>
      </w:pPr>
    </w:p>
    <w:p>
      <w:pPr>
        <w:ind w:left="660" w:right="38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accounting policy did not have a material effect on the Group’s unaudited interim condensed consolidated financial statements for the periods presented.</w:t>
      </w:r>
    </w:p>
    <w:p>
      <w:pPr>
        <w:spacing w:after="0" w:line="1" w:lineRule="exact"/>
        <w:rPr>
          <w:rFonts w:ascii="Times New Roman" w:cs="Times New Roman" w:eastAsia="Times New Roman" w:hAnsi="Times New Roman"/>
          <w:sz w:val="18"/>
          <w:szCs w:val="18"/>
          <w:color w:val="auto"/>
        </w:rPr>
      </w:pPr>
    </w:p>
    <w:p>
      <w:pPr>
        <w:ind w:left="660" w:right="40"/>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additional disclosures introduced by the amendments in relation to (i) investments in equity instruments designated at fair value through other comprehensive income ("FVOCI") and (ii) financial instruments not measured at fair value through profit or loss ("FVTPL") with certain contingent features are not applicable to the Group.</w:t>
      </w:r>
    </w:p>
    <w:p>
      <w:pPr>
        <w:spacing w:after="0" w:line="171" w:lineRule="exact"/>
        <w:rPr>
          <w:rFonts w:ascii="Times New Roman" w:cs="Times New Roman" w:eastAsia="Times New Roman" w:hAnsi="Times New Roman"/>
          <w:sz w:val="18"/>
          <w:szCs w:val="18"/>
          <w:color w:val="auto"/>
        </w:rPr>
      </w:pPr>
    </w:p>
    <w:p>
      <w:pPr>
        <w:ind w:left="660" w:right="400" w:hanging="332"/>
        <w:spacing w:after="0" w:line="24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9 Financial Instruments and IFRS 7 Financial Instruments: Disclosures – Contracts Referencing Nature-dependent Electricity.</w:t>
      </w:r>
    </w:p>
    <w:p>
      <w:pPr>
        <w:ind w:left="660" w:right="82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assessed that the application of these issued accounting pronouncements has no impact on the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standards and interpretations not yet mandatory as of March 31, 2026 are the following:</w:t>
      </w:r>
    </w:p>
    <w:p>
      <w:pPr>
        <w:spacing w:after="0" w:line="23" w:lineRule="exact"/>
        <w:rPr>
          <w:sz w:val="20"/>
          <w:szCs w:val="20"/>
          <w:color w:val="auto"/>
        </w:rPr>
      </w:pPr>
    </w:p>
    <w:p>
      <w:pPr>
        <w:ind w:left="640" w:right="80" w:hanging="331"/>
        <w:spacing w:after="0" w:line="234" w:lineRule="auto"/>
        <w:tabs>
          <w:tab w:leader="none" w:pos="64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IFRS 18 Presentation and Disclosure in Financial Statements, whose application is for annual reporting periods beginning on or after January 1, 2027, as approved by the EU on February 16, 2026;</w:t>
      </w:r>
    </w:p>
    <w:p>
      <w:pPr>
        <w:spacing w:after="0" w:line="10" w:lineRule="exact"/>
        <w:rPr>
          <w:rFonts w:ascii="Arial" w:cs="Arial" w:eastAsia="Arial" w:hAnsi="Arial"/>
          <w:sz w:val="22"/>
          <w:szCs w:val="22"/>
          <w:color w:val="auto"/>
        </w:rPr>
      </w:pPr>
    </w:p>
    <w:p>
      <w:pPr>
        <w:ind w:left="640" w:right="260" w:hanging="331"/>
        <w:spacing w:after="0" w:line="238"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19 Subsidiaries without Public Accountability: Disclosures, and the Amendments (issued on August 21,2025) whose application is for annual reporting periods beginning on or after January 1, 2027 (not yet approved by the EU), and</w:t>
      </w:r>
    </w:p>
    <w:p>
      <w:pPr>
        <w:ind w:left="640" w:right="100" w:hanging="331"/>
        <w:spacing w:after="0" w:line="243"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21 The Effects of Changes in Foreign Exchange Rates: Translation to a Hyperinflationary Presentation Currency, whose application is for annual reporting periods beginning on or after January 1, 2027 (not yet approved by the EU).</w:t>
      </w:r>
    </w:p>
    <w:p>
      <w:pPr>
        <w:spacing w:after="0" w:line="15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These texts have not been early adopted. The application of the standards and interpretations issued respectively by the IASB and the IFRS IC that are not yet effective as of March 31, 2026 is not expected to have a material impact on the Group’s consolidated financial statements. IFRS 18, issued in April 2024 and effective from January 1, 2027, will modify the presentation of the Consolidated statements of income (loss) and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9720"/>
          </w:cols>
          <w:pgMar w:left="1080" w:top="1440" w:right="1099" w:bottom="1440" w:gutter="0" w:footer="0" w:header="0"/>
        </w:sectPr>
      </w:pPr>
    </w:p>
    <w:bookmarkStart w:id="24" w:name="page25"/>
    <w:bookmarkEnd w:id="24"/>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Preparation of the financial statements</w:t>
      </w:r>
    </w:p>
    <w:p>
      <w:pPr>
        <w:spacing w:after="0" w:line="18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Group were prepared on a historical cost basis, with the exception of certain asset and liability categories and in accordance with the provisions set out in IFRS such as employee benefits measured using the projected unit credit method, the Heights notes (classified under "Convertible loan notes") measured at fair value and derivative financial instruments measured at fair value and certain investments classified under "Cash and equivalents" measured at fair value.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Group has incurred substantial operating losses since inception and expects to continue to incur significant operating losses for the foreseeable future and may never become profitable. For the three-month period ended March 31, 2026, the Group had a net loss of €(48.5)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the Group has financed its operations through the issuance of ordinary shares with gross aggregate proceeds of</w:t>
      </w:r>
    </w:p>
    <w:p>
      <w:pPr>
        <w:spacing w:after="0" w:line="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€1,194.7 million, of which €130 million of gross proceeds were from offerings of its ordinary shares on Euronext Paris in February 2023, €223.3 million of gross proceeds were from its offering of ordinary shares in the form of American Depository Shares ("ADS") on the Nasdaq Global Market as well as ordinary shares in Europe (including France) and countries outside of the United States in a private placement in October 2023 and €637.5 million of gross proceeds were from the offering of ordinary shares in the form of ADSs on the Nasdaq Global Market in July 2025 (the “Offering”), bank borrowings and structured loans for €175.0 million, reimbursements of Research Tax Credits (Crédit d’Impôt Recherche (“CIR”)) in an amount of €41.3 million, subsidies received from Banque Publique d’Investissement (“Bpifrance”) (including €17.1 million of subsidies and €1.8 million of conditional advances) and royalty certificates in an amount of €2.9 million.</w:t>
      </w:r>
    </w:p>
    <w:p>
      <w:pPr>
        <w:spacing w:after="0" w:line="24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Based on the Group’s existing cash and cash equivalents and other short-term investments of €491.6 million as of March 31, 2026, the Group expects, as of the date of issuance of these financial statements, to be able to fund its forecasted cash flow requirements into the fourth quarter of 2027. This takes into account the repurchase and cancellation by the Group of its royalty certificates in May 2026 (see Note 3.3. below), as well as management's assumptions of continued R&amp;D expenditure related to the continuation of the Phase 3 clinical trials of obefazimod in UC, progression of the Phase 2b clinical trials for CD and the initial stages of the scale up of the commercial organization as the Group prepares for a potential launch of obefazimod in UC.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above, these financial statements have been prepared on a going concern basis.</w:t>
      </w:r>
    </w:p>
    <w:p>
      <w:pPr>
        <w:spacing w:after="0" w:line="200" w:lineRule="exact"/>
        <w:rPr>
          <w:sz w:val="20"/>
          <w:szCs w:val="20"/>
          <w:color w:val="auto"/>
        </w:rPr>
      </w:pPr>
    </w:p>
    <w:p>
      <w:pPr>
        <w:spacing w:after="0" w:line="23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Note 3. Significant events for the year ended December 31, 2025 and the three-month period ended March 31, 2026 and subsequent events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ectPr>
          <w:pgSz w:w="11900" w:h="16838" w:orient="portrait"/>
          <w:cols w:equalWidth="0" w:num="1">
            <w:col w:w="9720"/>
          </w:cols>
          <w:pgMar w:left="1080" w:top="1440" w:right="1099" w:bottom="1440" w:gutter="0" w:footer="0" w:header="0"/>
          <w:type w:val="continuous"/>
        </w:sectPr>
      </w:pPr>
    </w:p>
    <w:bookmarkStart w:id="25" w:name="page26"/>
    <w:bookmarkEnd w:id="25"/>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3.1. For the year ended December 31,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plans – January-November 2025</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January 2025, the Group granted its independent Board members, as well as one of its Board Observers and Advisor, the right to subscribe up to 125,000 share warrants (BSA) in the aggregate, the vesting of which (if subscribed) is subject to a service condition of four years, by tranches of 25% each, vested on January 1 of each year.</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February, March, May, August and November 2025, the Group issued eight free-share compensation plans to certain of its officers and employees, representing a maximum of 6,280,727 shares in the aggregate, the vesting of which is subject to the following service condition: 50% of the AGAs vest at the end of a two-year period from the allocation date, 25% at the end of a three-year period from the allocation date and 25% at the end of a four-year period from the allocation date (with the exception of the 123,102 2025-2 AGAs, which vest at the end of a two-year period from the allocation date, and the 50,000 2025-5 AGAs , which vest only upon the achievement of milestones related to clinical studies). Moreover, the vesting of almost half of the 4,319,500 2025-1 AGAs is subject to the occurrence of a tender offer on the securities issued by the Group and resulting in a change of control of the Group before a certain date.</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April 2025, the Group granted to one of its Board members the right to subscribe up to 39,370 share warrants (BSA), the vesting of which is subject to a service condition of four years, by tranches of 25% each, vested on May 1 of each year. The BSAs were subscribed in May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detailed terms and conditions of these plans are set forth in Note 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management – April 2025</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April 22, 2025, the Group announced the appointment of Dominik Höchli, MD to the Board of Directors of Abivax, effective immediately.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Completion of enrollment for the Phase 3 ABTECT trials in patients with moderately to severely active UC - April 2025</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April 29, 2025, the Group announced the completion of enrollment for the Phase 3 ABTECT trials in patients with moderately to severely active UC.</w:t>
      </w:r>
    </w:p>
    <w:p>
      <w:pPr>
        <w:spacing w:after="0" w:line="16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Publication of positive Phase 3 results from both ABTECT 8-week induction trials investigating obefazimod, in moderate to severely active UC – July 2025</w:t>
      </w:r>
    </w:p>
    <w:p>
      <w:pPr>
        <w:spacing w:after="0" w:line="16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On July 22, 2025, the Group announced the positive results of the ABTECT-1 and ABTECT-2 induction trials in patients with moderately to severely active UC. ABTECT-1 and 2 are global, multicenter, randomized, double-blind, placebo-controlled trials assessing once-daily oral administration of obefazimod at 25 mg or 50 mg doses in adult patients with moderately to severely active UC. Eligible participants had inadequate response, loss of response, or intolerance to conventional and/or advanced therapies.</w:t>
      </w:r>
    </w:p>
    <w:p>
      <w:pPr>
        <w:spacing w:after="0" w:line="16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 xml:space="preserve">Following this announcement and that of its Offering completed on July 28, 2025 (see </w:t>
      </w:r>
      <w:r>
        <w:rPr>
          <w:rFonts w:ascii="Times New Roman" w:cs="Times New Roman" w:eastAsia="Times New Roman" w:hAnsi="Times New Roman"/>
          <w:sz w:val="18"/>
          <w:szCs w:val="18"/>
          <w:i w:val="1"/>
          <w:iCs w:val="1"/>
          <w:color w:val="auto"/>
        </w:rPr>
        <w:t>Completion of a public offering – July 2025</w:t>
      </w:r>
      <w:r>
        <w:rPr>
          <w:rFonts w:ascii="Times New Roman" w:cs="Times New Roman" w:eastAsia="Times New Roman" w:hAnsi="Times New Roman"/>
          <w:sz w:val="18"/>
          <w:szCs w:val="18"/>
          <w:color w:val="auto"/>
        </w:rPr>
        <w:t xml:space="preserve"> within this section), the Group’s share price increased significantly, from €6.64 as of June 30, 2025, to €57.00 as of July 28, 2025. At the same time, the Group reassessed the probability of success (“POS”) of obtaining a future market authorization for obefazimod in UC, to reflect a reduced level of uncertainty following positive Phase 3 results.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financial effects of this event on the Group’s financial statements are the following:</w:t>
      </w:r>
    </w:p>
    <w:p>
      <w:pPr>
        <w:spacing w:after="0" w:line="198" w:lineRule="exact"/>
        <w:rPr>
          <w:sz w:val="20"/>
          <w:szCs w:val="20"/>
          <w:color w:val="auto"/>
        </w:rPr>
      </w:pPr>
    </w:p>
    <w:p>
      <w:pPr>
        <w:ind w:left="660" w:hanging="33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in the carrying value of the royalty certificates, measured at amortized cost, reflecting an increase in the projected probability-weighted cash flows of the instrument, following the reassessment of the POS (see Note 15.5),</w:t>
      </w:r>
    </w:p>
    <w:p>
      <w:pPr>
        <w:spacing w:after="0" w:line="148" w:lineRule="exact"/>
        <w:rPr>
          <w:rFonts w:ascii="Times New Roman" w:cs="Times New Roman" w:eastAsia="Times New Roman" w:hAnsi="Times New Roman"/>
          <w:sz w:val="18"/>
          <w:szCs w:val="18"/>
          <w:color w:val="auto"/>
        </w:rPr>
      </w:pPr>
    </w:p>
    <w:p>
      <w:pPr>
        <w:ind w:left="660" w:hanging="332"/>
        <w:spacing w:after="0" w:line="272"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Significant changes in the carrying value of the Group’s financial liabilities measured at fair value through profit or loss, i.e. the Kreos / Claret BSA, the Kreos / Claret MRI and the Heights convertible notes (the latter as well as the Kreos / Claret BSA being converted into ordinary shares at the request of the noteholders in July and August 2025, see </w:t>
      </w:r>
      <w:r>
        <w:rPr>
          <w:rFonts w:ascii="Times New Roman" w:cs="Times New Roman" w:eastAsia="Times New Roman" w:hAnsi="Times New Roman"/>
          <w:sz w:val="17"/>
          <w:szCs w:val="17"/>
          <w:i w:val="1"/>
          <w:iCs w:val="1"/>
          <w:color w:val="auto"/>
        </w:rPr>
        <w:t>Conversion of the Heights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9720"/>
          </w:cols>
          <w:pgMar w:left="1080" w:top="1440" w:right="1099" w:bottom="1440" w:gutter="0" w:footer="0" w:header="0"/>
          <w:type w:val="continuous"/>
        </w:sectPr>
      </w:pPr>
    </w:p>
    <w:bookmarkStart w:id="26" w:name="page27"/>
    <w:bookmarkEnd w:id="26"/>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60" w:right="4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convertible notes, Kreos OCABSA and Kreos / Claret BSA and prepayment of the Kreos / Claret Tranches B and C bond loans – July-December 2025 </w:t>
      </w:r>
      <w:r>
        <w:rPr>
          <w:rFonts w:ascii="Times New Roman" w:cs="Times New Roman" w:eastAsia="Times New Roman" w:hAnsi="Times New Roman"/>
          <w:sz w:val="18"/>
          <w:szCs w:val="18"/>
          <w:color w:val="auto"/>
        </w:rPr>
        <w:t>below and Notes 15.1 and 15.2),</w:t>
      </w:r>
    </w:p>
    <w:p>
      <w:pPr>
        <w:spacing w:after="0" w:line="147" w:lineRule="exact"/>
        <w:rPr>
          <w:sz w:val="20"/>
          <w:szCs w:val="20"/>
          <w:color w:val="auto"/>
        </w:rPr>
      </w:pPr>
    </w:p>
    <w:p>
      <w:pPr>
        <w:ind w:left="660" w:right="220" w:hanging="332"/>
        <w:spacing w:after="0" w:line="24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disclosure of the fair values of other financial instruments measured at amortized cost (i.e. the royalty certificates, the debt components of (i) the Kreos / Claret OCABSA (Tranche A, converted into shares in August 2025) and (ii) Tranche B and C bond loans; these fair value changes are not expected directly to impact the future financial position and net loss of the Group - see Note 15),</w:t>
      </w:r>
    </w:p>
    <w:p>
      <w:pPr>
        <w:spacing w:after="0" w:line="167" w:lineRule="exact"/>
        <w:rPr>
          <w:rFonts w:ascii="Times New Roman" w:cs="Times New Roman" w:eastAsia="Times New Roman" w:hAnsi="Times New Roman"/>
          <w:sz w:val="18"/>
          <w:szCs w:val="18"/>
          <w:color w:val="auto"/>
        </w:rPr>
      </w:pPr>
    </w:p>
    <w:p>
      <w:pPr>
        <w:ind w:left="660" w:right="140" w:hanging="33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in provisions related to employer contributions on AGAs (the contribution being based on the vesting date share price - see Note 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Completion of a public offering – July 2025</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July 28, 2025, the Group announced the completion of an underwritten public offering of 11,679,400 ADSs (the “Offering”) at a price of $64.00 per ADS (corresponding to €54.58 per ordinary share, based on the exchange rate of €1.00 = $1.1726 as published by the European Central Bank on July 23, 2025). The aggregate gross proceeds amounted to approximately $747.5 million, equivalent to approximately €637.5 million, before deduction of underwriting commissions and estimated expenses, and the net proceeds, after deducting underwriting commissions and estimated offering expenses, were approximately $700.3 million, equivalent to approximately €597.2 million. The net cash from the Offering of €608.1 million presented within the Unaudited Condensed Interim Statements of Cash Flows also includes the effect of a net foreign exchange gain resulting from the favorable change in the euro to U.S. dollar exchange rate between the closing of the Offering and the date of receipt of funds.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Group believes that the net proceeds from the Offering, together with its current cash and cash equivalents, will allow it to finance its operations into the fourth quarter of 2027, allowing it to reach 12 months of expected cash runway following the planned NDA submission for UC, assuming positive results from its Phase 3 maintenance trial (see Note 2 above "Going concern").</w:t>
      </w:r>
    </w:p>
    <w:p>
      <w:pPr>
        <w:spacing w:after="0" w:line="17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i w:val="1"/>
          <w:iCs w:val="1"/>
          <w:color w:val="auto"/>
        </w:rPr>
        <w:t>Conversion of the Heights convertible notes, Kreos OCABSA and Kreos / Claret BSA and prepayment of the Kreos / Claret Tranches B and C bond loans – July-December 2025</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23 and July 30, 2025, the Group received notices from entities affiliated with Heights Capital Management, which hold amortizing senior convertible notes of the Group issued in August 2023 (the “Height convertible notes”), for the immediate conversion of respectively 150 and 200 convertible notes (corresponding to the entirety of the outstanding principal amount of €21.9 million) into 920,377 new ordinary shares of the Group at a conversion price of €23.7674 per ordinary share in accordance with the terms and conditions of the convertible notes.</w:t>
      </w:r>
    </w:p>
    <w:p>
      <w:pPr>
        <w:spacing w:after="0" w:line="18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On August 8, 2025, Kreos Capital VII (UK) Limited converted its portion of the Tranche A of the Kreos / Claret Financing (the Kreos OCABSA), resulting in the issuance of 785,389 ordinary shares. In addition, on July 30, 2025 Kreos Capital VII Aggregator SCSp</w:t>
      </w:r>
    </w:p>
    <w:p>
      <w:pPr>
        <w:spacing w:after="0" w:line="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exercised its share warrants (the tranche A-B BSA and tranche C BSA) resulting in the issuance of 319,251 ordinary shares of the Group.</w:t>
      </w:r>
    </w:p>
    <w:p>
      <w:pPr>
        <w:spacing w:after="0" w:line="1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August 28, 2025, Claret European Growth Capital Fund III SCSp exercised its share warrants (the tranche A-B BSA and tranche C BSA) resulting in the issuance of 206,662 ordinary shares of the Group.</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November 25, 2025, Claret European Growth Capital Fund III SCSp converted its portion of the Tranche A portion of the Kreos / Claret Financing (the Claret OCABSA), resulting in the issuance of 392,695 ordinary shares of the Group.</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December 23, 2025, the Group completed the full prepayment of the outstanding balances of Tranches B and C of the Kreos / Claret Financing. The repayment amount, including end-of-loan exit fees and prepayment fees, amounts to 33,823 thousand.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these transactions, the Group no longer holds any debt related to the Kreos / Claret and Heights Financings.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impacts of these operations on the Group's financial statements are set forth in Note 15.1 and 15.2.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Admission to the CAC Mid 60 and SBF 120 indices - September 2025</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ectPr>
          <w:pgSz w:w="11900" w:h="16838" w:orient="portrait"/>
          <w:cols w:equalWidth="0" w:num="1">
            <w:col w:w="9720"/>
          </w:cols>
          <w:pgMar w:left="1080" w:top="1440" w:right="1099" w:bottom="1440" w:gutter="0" w:footer="0" w:header="0"/>
          <w:type w:val="continuous"/>
        </w:sectPr>
      </w:pPr>
    </w:p>
    <w:bookmarkStart w:id="27" w:name="page28"/>
    <w:bookmarkEnd w:id="27"/>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60"/>
        <w:spacing w:after="0" w:line="261" w:lineRule="auto"/>
        <w:rPr>
          <w:sz w:val="20"/>
          <w:szCs w:val="20"/>
          <w:color w:val="auto"/>
        </w:rPr>
      </w:pPr>
      <w:r>
        <w:rPr>
          <w:rFonts w:ascii="Times New Roman" w:cs="Times New Roman" w:eastAsia="Times New Roman" w:hAnsi="Times New Roman"/>
          <w:sz w:val="18"/>
          <w:szCs w:val="18"/>
          <w:color w:val="auto"/>
        </w:rPr>
        <w:t>Following the annual review of the Euronext Paris indices on September 11, 2025, the Scientific Council of the Indices has decided to admit the Company to the CAC Mid 60 and SBF 120 indices. This decision took effect on Friday, September 19, 2025, after market close. The CAC Mid 60 and SBF 120 are key indices on the Euronext Paris exchange, representing mid-sized listed companies and a broader selection of 120 major securities, respectively.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3.2. For the three-month period ended March 31, 2026</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plans – February and March 2026</w:t>
      </w:r>
    </w:p>
    <w:p>
      <w:pPr>
        <w:spacing w:after="0" w:line="24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In February and March 2026 certain of the Group's officers and employees were allocated 47,500 AGAs (AGA plan 2026-1), 294,476 (AGA plan 2026-2), 1,619 (AGA plan 2026-3) in the aggregate, the vesting of which is subject to the following service condition: 50% of the AGAs vest at the end of a two-year period from the allocation date, 25% at the end of a three-year period from the allocation date and 25% at the end of a four-year period from the allocation date.</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February 2026, the Group granted its independent Board members, as well as a board observer and advisor, the right to subscribe up to 23,477 share warrants (BSA) in the aggregate, the vesting of which is subject to a service condition of four years, by tranches of 25% each, vested on each February 1st thereafter. The BSAs were subscribed in February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Management - March 2026</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March 2026, the Group appointed Michael Nesrallah, MBA, as Chief Commercial Officer, Keith Fournier, Ph.D., as Senior Vice President of Global Regulatory Affairs, and Maurus de la Rosa, Ph.D., Senior Vice President of Research.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2026, Sofinnova Partners, represented by Dr. Kinam Hong, stepped down from the Group's Board of Directors.</w:t>
      </w:r>
    </w:p>
    <w:p>
      <w:pPr>
        <w:spacing w:after="0" w:line="198" w:lineRule="exact"/>
        <w:rPr>
          <w:sz w:val="20"/>
          <w:szCs w:val="20"/>
          <w:color w:val="auto"/>
        </w:rPr>
      </w:pPr>
    </w:p>
    <w:p>
      <w:pPr>
        <w:ind w:right="420"/>
        <w:spacing w:after="0" w:line="246" w:lineRule="auto"/>
        <w:rPr>
          <w:sz w:val="20"/>
          <w:szCs w:val="20"/>
          <w:color w:val="auto"/>
        </w:rPr>
      </w:pPr>
      <w:r>
        <w:rPr>
          <w:rFonts w:ascii="Times New Roman" w:cs="Times New Roman" w:eastAsia="Times New Roman" w:hAnsi="Times New Roman"/>
          <w:sz w:val="18"/>
          <w:szCs w:val="18"/>
          <w:color w:val="auto"/>
        </w:rPr>
        <w:t>In light of Dr. Didier Scherrer's departure from his role as Chief Scientific Officer, the Group entered into a settlement agreement ("protocole d’accord transactionnel") with Dr. Didier Scherrer under which:</w:t>
      </w:r>
    </w:p>
    <w:p>
      <w:pPr>
        <w:spacing w:after="0" w:line="1" w:lineRule="exact"/>
        <w:rPr>
          <w:sz w:val="20"/>
          <w:szCs w:val="20"/>
          <w:color w:val="auto"/>
        </w:rPr>
      </w:pPr>
    </w:p>
    <w:p>
      <w:pPr>
        <w:ind w:left="660" w:right="700" w:hanging="332"/>
        <w:spacing w:after="0" w:line="23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Scherrer received a balance of notice pay in the total gross amount of €278 thousand, together with a contractual severance indemnity of €240 thousand (net);</w:t>
      </w:r>
    </w:p>
    <w:p>
      <w:pPr>
        <w:spacing w:after="0" w:line="1" w:lineRule="exact"/>
        <w:rPr>
          <w:rFonts w:ascii="Times New Roman" w:cs="Times New Roman" w:eastAsia="Times New Roman" w:hAnsi="Times New Roman"/>
          <w:sz w:val="18"/>
          <w:szCs w:val="18"/>
          <w:color w:val="auto"/>
        </w:rPr>
      </w:pPr>
    </w:p>
    <w:p>
      <w:pPr>
        <w:ind w:left="660" w:hanging="332"/>
        <w:spacing w:after="0" w:line="23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waived the continued employment condition attached to 77,050 free shares previously granted to Dr. Scherrer;</w:t>
      </w:r>
    </w:p>
    <w:p>
      <w:pPr>
        <w:ind w:left="660" w:right="480" w:hanging="332"/>
        <w:spacing w:after="0" w:line="23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waived the continued employment condition for a further 40,200 free shares, subject to specific performance conditions;</w:t>
      </w:r>
    </w:p>
    <w:p>
      <w:pPr>
        <w:spacing w:after="0" w:line="1" w:lineRule="exact"/>
        <w:rPr>
          <w:rFonts w:ascii="Times New Roman" w:cs="Times New Roman" w:eastAsia="Times New Roman" w:hAnsi="Times New Roman"/>
          <w:sz w:val="18"/>
          <w:szCs w:val="18"/>
          <w:color w:val="auto"/>
        </w:rPr>
      </w:pPr>
    </w:p>
    <w:p>
      <w:pPr>
        <w:ind w:left="660" w:hanging="332"/>
        <w:spacing w:after="0" w:line="23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217,750 free shares previously granted to Dr. Scherrer are lapsed; and</w:t>
      </w:r>
    </w:p>
    <w:p>
      <w:pPr>
        <w:ind w:left="660" w:hanging="33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Scherrer irrevocably waived all claims and renounced any legal action against the Group.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treatment of this transaction is set forth in Note 14.</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ectPr>
          <w:pgSz w:w="11900" w:h="16838" w:orient="portrait"/>
          <w:cols w:equalWidth="0" w:num="1">
            <w:col w:w="9720"/>
          </w:cols>
          <w:pgMar w:left="1080" w:top="1440" w:right="1099" w:bottom="1440" w:gutter="0" w:footer="0" w:header="0"/>
          <w:type w:val="continuous"/>
        </w:sectPr>
      </w:pPr>
    </w:p>
    <w:bookmarkStart w:id="28" w:name="page29"/>
    <w:bookmarkEnd w:id="28"/>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3.3.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royalty certificates – May 2026</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4, 2026, the Group entered into a purchase agreement with the holders of its royalty certificates (TCG Crossover Fund I, L.P., VHCP ABVX Holdings, LLC, Deep Track Biotechnology Master Fund, Ltd., Sofinnova Crossover I SLP, Invus Public Equities, L.P., FPCI BioMedTech and Santé Holdings Srl, together referred to as the “Holders”). Pursuant to the agreement, the Holders agreed to sell, and the Group agreed to purchase, all of the royalty certificates for a purchase price equal to $90 million (equivalent to approximately €76.5 million), of which $45 million was paid in cash on May 7, 2026.</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Holders granted the Group an interest-free vendor’s loan ("crédit vendeur") in a total amount equal to the remaining $45 million, to be reinvested in the Group's securities by way of set off against the subscription price of 403,347 ordinary shares in the form of ADSs to be issued by the Group to the Holders, at an offering price of $111.57 per ADS (corresponding to €95.34 per ordinary share, based on the exchange rate of €1.00 = $1.1702 as published by the European Central Bank on April 30, 2026). The set-off and the corresponding issuance and delivery of the ADSs to the Holders occurred on May 7, 2026. The vendor's loan was fully extinguished at that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royalty certificates repurchased by the Group were immediately cancelled by the Group.</w:t>
      </w:r>
    </w:p>
    <w:p>
      <w:pPr>
        <w:spacing w:after="0" w:line="22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Based on the information available as of the date of issuance of the financial statements, the estimated impact in profit or loss of the repurchase of the royalty certificates on May 7, 2026 is expected to result in an expense of approximately €43.0 million, to be recognized in the second quarter of 2026. The amount corresponds to the difference between the certificates' carrying amount on the repurchase date of €33.5 million and the total consideration transferred, comprising cash and equity consideration of €38.2 million each, based on the exchange rate prevailing on that date. Consequently, the €6.1 million deferred tax liability recognized in the Group's statements of financial position as of March 31, 2026 will be derecognized, and a corresponding tax income will be recognized (see Note 22).</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May 7, 2026, the Group filed a prospectus supplement to its effective shelf registration statement on Form F-3ASR filed with the Securities and Exchange Commission on July 23, 2025, for the purpose of registering for resale up to 403,347 ADSs held by the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Accounting principles</w:t>
      </w:r>
    </w:p>
    <w:p>
      <w:pPr>
        <w:spacing w:after="0" w:line="94"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7"/>
          <w:szCs w:val="17"/>
          <w:color w:val="auto"/>
        </w:rPr>
        <w:t>The Group's accounting policies are the same as those described in the annual consolidated financial statements of the Group as of December 31, 2025 accompanying the Annual Report, with the exception of the change in accounting policy implemented following the application of the Amendments to IFRS 9 Financial Instruments and IFRS 7 Financial Instruments: Disclosures – Amendments to</w:t>
      </w:r>
    </w:p>
    <w:p>
      <w:pPr>
        <w:ind w:right="20"/>
        <w:spacing w:after="0" w:line="208" w:lineRule="auto"/>
        <w:rPr>
          <w:sz w:val="20"/>
          <w:szCs w:val="20"/>
          <w:color w:val="auto"/>
        </w:rPr>
      </w:pPr>
      <w:r>
        <w:rPr>
          <w:rFonts w:ascii="Times New Roman" w:cs="Times New Roman" w:eastAsia="Times New Roman" w:hAnsi="Times New Roman"/>
          <w:sz w:val="18"/>
          <w:szCs w:val="18"/>
          <w:color w:val="auto"/>
        </w:rPr>
        <w:t>the Classification and Measurement of Financial Instruments (see Note 2). Under the new accounting policy, the Group derecognises financial liabilities on the settlement date. However, for certain financial liabilities settled with cash using electronic payment systems, the Group applies an exception on a system-by-system basis to derecognise financial liabilities earlier. For these liabilities,</w:t>
      </w:r>
    </w:p>
    <w:p>
      <w:pPr>
        <w:spacing w:after="0" w:line="2" w:lineRule="exact"/>
        <w:rPr>
          <w:sz w:val="20"/>
          <w:szCs w:val="20"/>
          <w:color w:val="auto"/>
        </w:rPr>
      </w:pPr>
    </w:p>
    <w:p>
      <w:pPr>
        <w:ind w:right="600"/>
        <w:spacing w:after="0" w:line="226" w:lineRule="auto"/>
        <w:rPr>
          <w:sz w:val="20"/>
          <w:szCs w:val="20"/>
          <w:color w:val="auto"/>
        </w:rPr>
      </w:pPr>
      <w:r>
        <w:rPr>
          <w:rFonts w:ascii="Times New Roman" w:cs="Times New Roman" w:eastAsia="Times New Roman" w:hAnsi="Times New Roman"/>
          <w:sz w:val="18"/>
          <w:szCs w:val="18"/>
          <w:color w:val="auto"/>
        </w:rPr>
        <w:t>derecognition occurs when the Group’s ability to withdraw, stop or cancel the payment instruction is surrendered and the other eligibility criteria are met.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judgments and estimates</w:t>
      </w:r>
    </w:p>
    <w:p>
      <w:pPr>
        <w:spacing w:after="0" w:line="20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In preparing these unaudited condensed consolidated financial statements, management has made judgments and estimates that affect the application of the Group’s accounting policies and the reported amounts of assets and liabilities, income and expenses. Actual values may differ from estimated values.</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significant judgments made by management in the application of the Group’s accounting policies and the key sources of estimation uncertainty are the same as those described in the annual consolidated financial statements of the Group as of December 31, 2025 accompanying the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fair values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9720"/>
          </w:cols>
          <w:pgMar w:left="1080" w:top="1440" w:right="1099" w:bottom="1440" w:gutter="0" w:footer="0" w:header="0"/>
          <w:type w:val="continuous"/>
        </w:sectPr>
      </w:pPr>
    </w:p>
    <w:bookmarkStart w:id="29" w:name="page30"/>
    <w:bookmarkEnd w:id="29"/>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200"/>
        <w:spacing w:after="0" w:line="237" w:lineRule="auto"/>
        <w:rPr>
          <w:sz w:val="20"/>
          <w:szCs w:val="20"/>
          <w:color w:val="auto"/>
        </w:rPr>
      </w:pPr>
      <w:r>
        <w:rPr>
          <w:rFonts w:ascii="Times New Roman" w:cs="Times New Roman" w:eastAsia="Times New Roman" w:hAnsi="Times New Roman"/>
          <w:sz w:val="18"/>
          <w:szCs w:val="18"/>
          <w:color w:val="auto"/>
        </w:rPr>
        <w:t>A number of the Group’s accounting policies require the measurement of fair values, for both financial and non-financial assets and liabilities.</w:t>
      </w:r>
    </w:p>
    <w:p>
      <w:pPr>
        <w:spacing w:after="0" w:line="1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When measuring the fair value of an asset or a liability, the Group uses market observable data as far as possible. Fair values are categorized into different levels in a fair value hierarchy based on the inputs used in the valuation techniques as follows.</w:t>
      </w:r>
    </w:p>
    <w:p>
      <w:pPr>
        <w:spacing w:after="0" w:line="54" w:lineRule="exact"/>
        <w:rPr>
          <w:sz w:val="20"/>
          <w:szCs w:val="20"/>
          <w:color w:val="auto"/>
        </w:rPr>
      </w:pPr>
    </w:p>
    <w:p>
      <w:pPr>
        <w:ind w:left="1000" w:hanging="336"/>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00" w:right="180" w:hanging="336"/>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either directly (i.e., prices) or indirectly (i.e., derived from prices).</w:t>
      </w:r>
    </w:p>
    <w:p>
      <w:pPr>
        <w:ind w:left="1000" w:hanging="336"/>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for the asset or liability that are not based on observable market data (unobservable inputs).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operations are not subject to significant seasonality.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8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The assessment of the Group’s performance and the decisions about resources to be allocated are made by the chief operating decision maker, based on the management reporting system of the Group. The Group identified the Chief Executive Officer of the Group as</w:t>
      </w:r>
    </w:p>
    <w:p>
      <w:pPr>
        <w:ind w:right="440"/>
        <w:spacing w:after="0" w:line="226" w:lineRule="auto"/>
        <w:rPr>
          <w:sz w:val="20"/>
          <w:szCs w:val="20"/>
          <w:color w:val="auto"/>
        </w:rPr>
      </w:pPr>
      <w:r>
        <w:rPr>
          <w:rFonts w:ascii="Times New Roman" w:cs="Times New Roman" w:eastAsia="Times New Roman" w:hAnsi="Times New Roman"/>
          <w:sz w:val="18"/>
          <w:szCs w:val="18"/>
          <w:color w:val="auto"/>
        </w:rPr>
        <w:t>“Chief operating decision maker”. The Chief operating decision maker reviews on an aggregated basis the incurred expenses for allocating and evaluating performance of the Group.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operates in a single operating segment: R&amp;D of pharmaceutical products in order to market them in the future.</w:t>
      </w:r>
    </w:p>
    <w:p>
      <w:pPr>
        <w:spacing w:after="0" w:line="19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Substantially all operations, assets, liabilities, and losses of the Group are located in France. As of March 31, 2026, the Subsidiary’s contributions to the Group’s liabilities and net losses were less than 10% and its contribution to the Group's assets were 30.5% (consisting predominantly of cash and cash equivalents).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impairment test</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Goodwill relates to the acquisition of Splicos SAS that occurred in 2014 (i.e., prior to the transition date to IFRS) which was merged into the Group the same year.</w:t>
      </w:r>
    </w:p>
    <w:p>
      <w:pPr>
        <w:spacing w:after="0" w:line="14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Goodwill from the Splicos SAS acquisition corresponds to the “Modulation of RNA biogenesis / splicing” technological platform, from which derived the lead drug candidate of the Group: obefazimod.</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accordance with IAS 36, goodwill is allocated to groups of cash generating units (CGUs) at a level corresponding to the lead drug candidates. Thus, goodwill from Splicos SAS is allocated to obefazimod.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carrying amount of Splicos SAS goodwill is €18,419 thousand as of December 31, 2025 and March 31, 2026.</w:t>
      </w:r>
    </w:p>
    <w:p>
      <w:pPr>
        <w:spacing w:after="0" w:line="1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Obefazimod is currently in clinical development, so a clinical trial failure or a failure to obtain a marketing approval could result in an impairment. As of March 31, 2026, the Group has not identified any indication of impairment loss related to goodwill, intangible or tangible assets.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mainly comprised of the intellectual property underlying:</w:t>
      </w:r>
    </w:p>
    <w:p>
      <w:pPr>
        <w:spacing w:after="0" w:line="90" w:lineRule="exact"/>
        <w:rPr>
          <w:sz w:val="20"/>
          <w:szCs w:val="20"/>
          <w:color w:val="auto"/>
        </w:rPr>
      </w:pPr>
    </w:p>
    <w:p>
      <w:pPr>
        <w:ind w:left="1000" w:hanging="446"/>
        <w:spacing w:after="0" w:line="237"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and license agreement with the French National Centre for Scientific Research (CNRS), Montpellier 2 University and the Curie.</w:t>
      </w:r>
    </w:p>
    <w:p>
      <w:pPr>
        <w:spacing w:after="0" w:line="50" w:lineRule="exact"/>
        <w:rPr>
          <w:rFonts w:ascii="Times New Roman" w:cs="Times New Roman" w:eastAsia="Times New Roman" w:hAnsi="Times New Roman"/>
          <w:sz w:val="18"/>
          <w:szCs w:val="18"/>
          <w:color w:val="auto"/>
        </w:rPr>
      </w:pPr>
    </w:p>
    <w:p>
      <w:pPr>
        <w:ind w:left="1000" w:right="40" w:hanging="446"/>
        <w:spacing w:after="0" w:line="25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acquired through the acquisition of Prosynergia of €6,529 thousand. The patents are not yet amortized, similarly to licenses, and are included in obefazimod CGU for impairment test purposes.</w:t>
      </w:r>
    </w:p>
    <w:p>
      <w:pPr>
        <w:spacing w:after="0" w:line="176" w:lineRule="exact"/>
        <w:rPr>
          <w:sz w:val="20"/>
          <w:szCs w:val="20"/>
          <w:color w:val="auto"/>
        </w:rPr>
      </w:pPr>
    </w:p>
    <w:p>
      <w:pPr>
        <w:ind w:right="540"/>
        <w:spacing w:after="0" w:line="229" w:lineRule="auto"/>
        <w:rPr>
          <w:sz w:val="20"/>
          <w:szCs w:val="20"/>
          <w:color w:val="auto"/>
        </w:rPr>
      </w:pPr>
      <w:r>
        <w:rPr>
          <w:rFonts w:ascii="Times New Roman" w:cs="Times New Roman" w:eastAsia="Times New Roman" w:hAnsi="Times New Roman"/>
          <w:sz w:val="17"/>
          <w:szCs w:val="17"/>
          <w:color w:val="auto"/>
        </w:rPr>
        <w:t>Licenses and patents recognized as Intangible assets are not amortized since they are not operating in a manner intended by the management. As a consequence, and in accordance with IAS 36, those assets were subject to an annual impairment test as of December 31, 2025, which did not result in any impairment loss. As of March 31, 2026, no indicator of impairment has been</w:t>
      </w:r>
    </w:p>
    <w:p>
      <w:pPr>
        <w:spacing w:after="0"/>
        <w:rPr>
          <w:sz w:val="20"/>
          <w:szCs w:val="20"/>
          <w:color w:val="auto"/>
        </w:rPr>
      </w:pPr>
      <w:r>
        <w:rPr>
          <w:rFonts w:ascii="Times New Roman" w:cs="Times New Roman" w:eastAsia="Times New Roman" w:hAnsi="Times New Roman"/>
          <w:sz w:val="18"/>
          <w:szCs w:val="18"/>
          <w:color w:val="auto"/>
        </w:rPr>
        <w:t>identified.</w:t>
      </w:r>
    </w:p>
    <w:p>
      <w:pPr>
        <w:sectPr>
          <w:pgSz w:w="11900" w:h="16838" w:orient="portrait"/>
          <w:cols w:equalWidth="0" w:num="1">
            <w:col w:w="9680"/>
          </w:cols>
          <w:pgMar w:left="108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9680"/>
          </w:cols>
          <w:pgMar w:left="1080" w:top="1440" w:right="113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ind w:left="84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2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PATENTS</w:t>
            </w:r>
          </w:p>
        </w:tc>
        <w:tc>
          <w:tcPr>
            <w:tcW w:w="40" w:type="dxa"/>
            <w:vAlign w:val="bottom"/>
          </w:tcPr>
          <w:p>
            <w:pPr>
              <w:spacing w:after="0"/>
              <w:rPr>
                <w:sz w:val="16"/>
                <w:szCs w:val="16"/>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GROSS VALUES</w:t>
            </w: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50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6,529</w:t>
            </w:r>
          </w:p>
        </w:tc>
        <w:tc>
          <w:tcPr>
            <w:tcW w:w="40" w:type="dxa"/>
            <w:vAlign w:val="bottom"/>
          </w:tcPr>
          <w:p>
            <w:pPr>
              <w:spacing w:after="0"/>
              <w:rPr>
                <w:sz w:val="13"/>
                <w:szCs w:val="13"/>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6,677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1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00" w:type="dxa"/>
            <w:vAlign w:val="bottom"/>
            <w:tcBorders>
              <w:bottom w:val="single" w:sz="8" w:color="CCEEFF"/>
            </w:tcBorders>
            <w:vMerge w:val="continue"/>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6,529</w:t>
            </w:r>
          </w:p>
        </w:tc>
        <w:tc>
          <w:tcPr>
            <w:tcW w:w="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6,677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5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500" w:type="dxa"/>
            <w:vAlign w:val="bottom"/>
            <w:tcBorders>
              <w:bottom w:val="single" w:sz="8" w:color="CCEEFF"/>
            </w:tcBorders>
            <w:vMerge w:val="continue"/>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6,529</w:t>
            </w:r>
          </w:p>
        </w:tc>
        <w:tc>
          <w:tcPr>
            <w:tcW w:w="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6,677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5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500" w:type="dxa"/>
            <w:vAlign w:val="bottom"/>
            <w:vMerge w:val="continue"/>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50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6,529</w:t>
            </w:r>
          </w:p>
        </w:tc>
        <w:tc>
          <w:tcPr>
            <w:tcW w:w="40" w:type="dxa"/>
            <w:vAlign w:val="bottom"/>
          </w:tcPr>
          <w:p>
            <w:pPr>
              <w:spacing w:after="0"/>
              <w:rPr>
                <w:sz w:val="13"/>
                <w:szCs w:val="13"/>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6,677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500" w:type="dxa"/>
            <w:vAlign w:val="bottom"/>
            <w:vMerge w:val="continue"/>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50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of euros)</w:t>
            </w:r>
          </w:p>
        </w:tc>
        <w:tc>
          <w:tcPr>
            <w:tcW w:w="12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PATENTS</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(25)</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35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11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500" w:type="dxa"/>
            <w:vAlign w:val="bottom"/>
            <w:tcBorders>
              <w:bottom w:val="single" w:sz="8" w:color="CCEEFF"/>
            </w:tcBorders>
            <w:vMerge w:val="continue"/>
            <w:shd w:val="clear" w:color="auto" w:fill="CCEEFF"/>
          </w:tcPr>
          <w:p>
            <w:pPr>
              <w:spacing w:after="0"/>
              <w:rPr>
                <w:sz w:val="8"/>
                <w:szCs w:val="8"/>
                <w:color w:val="auto"/>
              </w:rPr>
            </w:pPr>
          </w:p>
        </w:tc>
        <w:tc>
          <w:tcPr>
            <w:tcW w:w="116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116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auto"/>
            </w:tcBorders>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top w:val="single" w:sz="8" w:color="auto"/>
            </w:tcBorders>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vMerge w:val="restart"/>
          </w:tcPr>
          <w:p>
            <w:pPr>
              <w:spacing w:after="0"/>
              <w:rPr>
                <w:sz w:val="14"/>
                <w:szCs w:val="14"/>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500" w:type="dxa"/>
            <w:vAlign w:val="bottom"/>
            <w:vMerge w:val="restart"/>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1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3500" w:type="dxa"/>
            <w:vAlign w:val="bottom"/>
            <w:vMerge w:val="continue"/>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3500" w:type="dxa"/>
            <w:vAlign w:val="bottom"/>
            <w:tcBorders>
              <w:bottom w:val="single" w:sz="8" w:color="CCEEFF"/>
            </w:tcBorders>
            <w:vMerge w:val="continue"/>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(26)</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3500" w:type="dxa"/>
            <w:vAlign w:val="bottom"/>
            <w:vMerge w:val="restart"/>
            <w:shd w:val="clear" w:color="auto" w:fill="CCEEFF"/>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1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3500" w:type="dxa"/>
            <w:vAlign w:val="bottom"/>
            <w:tcBorders>
              <w:bottom w:val="single" w:sz="8" w:color="CCEEFF"/>
            </w:tcBorders>
            <w:vMerge w:val="continue"/>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500" w:type="dxa"/>
            <w:vAlign w:val="bottom"/>
          </w:tcPr>
          <w:p>
            <w:pPr>
              <w:ind w:left="84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PATENTS</w:t>
            </w:r>
          </w:p>
        </w:tc>
        <w:tc>
          <w:tcPr>
            <w:tcW w:w="4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VALUES</w:t>
            </w: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50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6,529</w:t>
            </w:r>
          </w:p>
        </w:tc>
        <w:tc>
          <w:tcPr>
            <w:tcW w:w="40" w:type="dxa"/>
            <w:vAlign w:val="bottom"/>
          </w:tcPr>
          <w:p>
            <w:pPr>
              <w:spacing w:after="0"/>
              <w:rPr>
                <w:sz w:val="13"/>
                <w:szCs w:val="13"/>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6,529</w:t>
            </w:r>
          </w:p>
        </w:tc>
        <w:tc>
          <w:tcPr>
            <w:tcW w:w="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5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500" w:type="dxa"/>
            <w:vAlign w:val="bottom"/>
            <w:vMerge w:val="continue"/>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6,529</w:t>
            </w:r>
          </w:p>
        </w:tc>
        <w:tc>
          <w:tcPr>
            <w:tcW w:w="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500" w:type="dxa"/>
            <w:vAlign w:val="bottom"/>
            <w:vMerge w:val="continue"/>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379"/>
          </w:cols>
          <w:pgMar w:left="10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9379"/>
          </w:cols>
          <w:pgMar w:left="1080" w:top="1440" w:right="1440" w:bottom="1440" w:gutter="0" w:footer="0" w:header="0"/>
          <w:type w:val="continuous"/>
        </w:sectPr>
      </w:pPr>
    </w:p>
    <w:bookmarkStart w:id="31" w:name="page32"/>
    <w:bookmarkEnd w:id="31"/>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8. Property, plant and equipment</w:t>
      </w:r>
    </w:p>
    <w:p>
      <w:pPr>
        <w:spacing w:after="0" w:line="4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231F20"/>
        </w:rPr>
        <w:t>The following tables present changes in property, plant and equipment including the right of use of assets (or “ROU”) as of March 31, 2025 and 2026:</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AND</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OF WHICH</w:t>
            </w:r>
          </w:p>
        </w:tc>
        <w:tc>
          <w:tcPr>
            <w:tcW w:w="0" w:type="dxa"/>
            <w:vAlign w:val="bottom"/>
          </w:tcPr>
          <w:p>
            <w:pPr>
              <w:spacing w:after="0"/>
              <w:rPr>
                <w:sz w:val="1"/>
                <w:szCs w:val="1"/>
                <w:color w:val="auto"/>
              </w:rPr>
            </w:pPr>
          </w:p>
        </w:tc>
      </w:tr>
      <w:tr>
        <w:trPr>
          <w:trHeight w:val="187"/>
        </w:trPr>
        <w:tc>
          <w:tcPr>
            <w:tcW w:w="3640" w:type="dxa"/>
            <w:vAlign w:val="bottom"/>
            <w:gridSpan w:val="2"/>
          </w:tcPr>
          <w:p>
            <w:pPr>
              <w:ind w:left="102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220" w:type="dxa"/>
            <w:vAlign w:val="bottom"/>
          </w:tcPr>
          <w:p>
            <w:pPr>
              <w:spacing w:after="0"/>
              <w:rPr>
                <w:sz w:val="16"/>
                <w:szCs w:val="16"/>
                <w:color w:val="auto"/>
              </w:rPr>
            </w:pPr>
          </w:p>
        </w:tc>
        <w:tc>
          <w:tcPr>
            <w:tcW w:w="108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40" w:type="dxa"/>
            <w:vAlign w:val="bottom"/>
          </w:tcPr>
          <w:p>
            <w:pPr>
              <w:spacing w:after="0"/>
              <w:rPr>
                <w:sz w:val="16"/>
                <w:szCs w:val="16"/>
                <w:color w:val="auto"/>
              </w:rPr>
            </w:pP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40" w:type="dxa"/>
            <w:vAlign w:val="bottom"/>
          </w:tcPr>
          <w:p>
            <w:pPr>
              <w:spacing w:after="0"/>
              <w:rPr>
                <w:sz w:val="16"/>
                <w:szCs w:val="16"/>
                <w:color w:val="auto"/>
              </w:rPr>
            </w:pPr>
          </w:p>
        </w:tc>
        <w:tc>
          <w:tcPr>
            <w:tcW w:w="12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ROU</w:t>
            </w:r>
          </w:p>
        </w:tc>
        <w:tc>
          <w:tcPr>
            <w:tcW w:w="0" w:type="dxa"/>
            <w:vAlign w:val="bottom"/>
          </w:tcPr>
          <w:p>
            <w:pPr>
              <w:spacing w:after="0"/>
              <w:rPr>
                <w:sz w:val="1"/>
                <w:szCs w:val="1"/>
                <w:color w:val="auto"/>
              </w:rPr>
            </w:pPr>
          </w:p>
        </w:tc>
      </w:tr>
      <w:tr>
        <w:trPr>
          <w:trHeight w:val="194"/>
        </w:trPr>
        <w:tc>
          <w:tcPr>
            <w:tcW w:w="36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GROSS VALUES</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gridSpan w:val="6"/>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2,818</w:t>
            </w:r>
          </w:p>
        </w:tc>
        <w:tc>
          <w:tcPr>
            <w:tcW w:w="10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513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4,029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6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1300" w:type="dxa"/>
            <w:vAlign w:val="bottom"/>
            <w:gridSpan w:val="6"/>
            <w:vMerge w:val="continue"/>
            <w:shd w:val="clear" w:color="auto" w:fill="CCEEFF"/>
          </w:tcPr>
          <w:p>
            <w:pPr>
              <w:spacing w:after="0"/>
              <w:rPr>
                <w:sz w:val="9"/>
                <w:szCs w:val="9"/>
                <w:color w:val="auto"/>
              </w:rPr>
            </w:pPr>
          </w:p>
        </w:tc>
        <w:tc>
          <w:tcPr>
            <w:tcW w:w="108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64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Acquisition</w:t>
            </w:r>
          </w:p>
        </w:tc>
        <w:tc>
          <w:tcPr>
            <w:tcW w:w="220" w:type="dxa"/>
            <w:vAlign w:val="bottom"/>
          </w:tcPr>
          <w:p>
            <w:pPr>
              <w:spacing w:after="0"/>
              <w:rPr>
                <w:sz w:val="16"/>
                <w:szCs w:val="16"/>
                <w:color w:val="auto"/>
              </w:rPr>
            </w:pP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1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3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Disposal</w:t>
            </w:r>
          </w:p>
        </w:tc>
        <w:tc>
          <w:tcPr>
            <w:tcW w:w="22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color w:val="auto"/>
              </w:rPr>
              <w:t>Effect of the change in foreign currency exchange rates</w:t>
            </w: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gridSpan w:val="6"/>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2,814</w:t>
            </w:r>
          </w:p>
        </w:tc>
        <w:tc>
          <w:tcPr>
            <w:tcW w:w="10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484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2,505</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6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00" w:type="dxa"/>
            <w:vAlign w:val="bottom"/>
            <w:gridSpan w:val="6"/>
            <w:vMerge w:val="continue"/>
            <w:shd w:val="clear" w:color="auto" w:fill="CCEEFF"/>
          </w:tcPr>
          <w:p>
            <w:pPr>
              <w:spacing w:after="0"/>
              <w:rPr>
                <w:sz w:val="9"/>
                <w:szCs w:val="9"/>
                <w:color w:val="auto"/>
              </w:rPr>
            </w:pPr>
          </w:p>
        </w:tc>
        <w:tc>
          <w:tcPr>
            <w:tcW w:w="108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640" w:type="dxa"/>
            <w:vAlign w:val="bottom"/>
            <w:tcBorders>
              <w:bottom w:val="single" w:sz="8" w:color="CCEEFF"/>
            </w:tcBorders>
            <w:gridSpan w:val="2"/>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gridSpan w:val="6"/>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3,204</w:t>
            </w:r>
          </w:p>
        </w:tc>
        <w:tc>
          <w:tcPr>
            <w:tcW w:w="10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463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4,274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2,865</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6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00" w:type="dxa"/>
            <w:vAlign w:val="bottom"/>
            <w:gridSpan w:val="6"/>
            <w:vMerge w:val="continue"/>
            <w:shd w:val="clear" w:color="auto" w:fill="CCEEFF"/>
          </w:tcPr>
          <w:p>
            <w:pPr>
              <w:spacing w:after="0"/>
              <w:rPr>
                <w:sz w:val="9"/>
                <w:szCs w:val="9"/>
                <w:color w:val="auto"/>
              </w:rPr>
            </w:pPr>
          </w:p>
        </w:tc>
        <w:tc>
          <w:tcPr>
            <w:tcW w:w="108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64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Acquisition</w:t>
            </w:r>
          </w:p>
        </w:tc>
        <w:tc>
          <w:tcPr>
            <w:tcW w:w="220" w:type="dxa"/>
            <w:vAlign w:val="bottom"/>
          </w:tcPr>
          <w:p>
            <w:pPr>
              <w:spacing w:after="0"/>
              <w:rPr>
                <w:sz w:val="16"/>
                <w:szCs w:val="16"/>
                <w:color w:val="auto"/>
              </w:rPr>
            </w:pP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36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Effect of the change in foreign currency exchange rates</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4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gridSpan w:val="6"/>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3,212</w:t>
            </w:r>
          </w:p>
        </w:tc>
        <w:tc>
          <w:tcPr>
            <w:tcW w:w="10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474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654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4,340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2,874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00" w:type="dxa"/>
            <w:vAlign w:val="bottom"/>
            <w:gridSpan w:val="6"/>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6"/>
        </w:trPr>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OF WHICH</w:t>
            </w:r>
          </w:p>
        </w:tc>
        <w:tc>
          <w:tcPr>
            <w:tcW w:w="0" w:type="dxa"/>
            <w:vAlign w:val="bottom"/>
          </w:tcPr>
          <w:p>
            <w:pPr>
              <w:spacing w:after="0"/>
              <w:rPr>
                <w:sz w:val="1"/>
                <w:szCs w:val="1"/>
                <w:color w:val="auto"/>
              </w:rPr>
            </w:pPr>
          </w:p>
        </w:tc>
      </w:tr>
      <w:tr>
        <w:trPr>
          <w:trHeight w:val="173"/>
        </w:trPr>
        <w:tc>
          <w:tcPr>
            <w:tcW w:w="3640" w:type="dxa"/>
            <w:vAlign w:val="bottom"/>
            <w:gridSpan w:val="2"/>
            <w:vMerge w:val="continue"/>
          </w:tcPr>
          <w:p>
            <w:pPr>
              <w:spacing w:after="0"/>
              <w:rPr>
                <w:sz w:val="15"/>
                <w:szCs w:val="15"/>
                <w:color w:val="auto"/>
              </w:rPr>
            </w:pPr>
          </w:p>
        </w:tc>
        <w:tc>
          <w:tcPr>
            <w:tcW w:w="13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40" w:type="dxa"/>
            <w:vAlign w:val="bottom"/>
          </w:tcPr>
          <w:p>
            <w:pPr>
              <w:spacing w:after="0"/>
              <w:rPr>
                <w:sz w:val="15"/>
                <w:szCs w:val="15"/>
                <w:color w:val="auto"/>
              </w:rPr>
            </w:pPr>
          </w:p>
        </w:tc>
        <w:tc>
          <w:tcPr>
            <w:tcW w:w="12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ROU</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(613)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(1,363)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(575)</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11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640" w:type="dxa"/>
            <w:vAlign w:val="bottom"/>
            <w:tcBorders>
              <w:bottom w:val="single" w:sz="8" w:color="CCEEFF"/>
            </w:tcBorders>
            <w:gridSpan w:val="2"/>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Increase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Disposal</w:t>
            </w:r>
          </w:p>
        </w:tc>
        <w:tc>
          <w:tcPr>
            <w:tcW w:w="220" w:type="dxa"/>
            <w:vAlign w:val="bottom"/>
          </w:tcPr>
          <w:p>
            <w:pPr>
              <w:spacing w:after="0"/>
              <w:rPr>
                <w:sz w:val="19"/>
                <w:szCs w:val="19"/>
                <w:color w:val="auto"/>
              </w:rPr>
            </w:pPr>
          </w:p>
        </w:tc>
        <w:tc>
          <w:tcPr>
            <w:tcW w:w="10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1"/>
        </w:trPr>
        <w:tc>
          <w:tcPr>
            <w:tcW w:w="3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Effect of the change in foreign currency exchange rates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364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(836)</w:t>
            </w: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(398)</w:t>
            </w: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(356)</w:t>
            </w: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(1,590)</w:t>
            </w: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(767)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640" w:type="dxa"/>
            <w:vAlign w:val="bottom"/>
            <w:gridSpan w:val="2"/>
            <w:vMerge w:val="restart"/>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1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3640" w:type="dxa"/>
            <w:vAlign w:val="bottom"/>
            <w:gridSpan w:val="2"/>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(1,498)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(2,184)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(1,302)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640" w:type="dxa"/>
            <w:vAlign w:val="bottom"/>
            <w:tcBorders>
              <w:bottom w:val="single" w:sz="8" w:color="CCEEFF"/>
            </w:tcBorders>
            <w:gridSpan w:val="2"/>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Increase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Effect of the change in foreign currency exchange rates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(1,818)</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(412)</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(2,558)</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(1,587)</w:t>
            </w: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3640" w:type="dxa"/>
            <w:vAlign w:val="bottom"/>
            <w:gridSpan w:val="2"/>
            <w:vMerge w:val="restart"/>
            <w:shd w:val="clear" w:color="auto" w:fill="CCEEFF"/>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12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24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3640" w:type="dxa"/>
            <w:vAlign w:val="bottom"/>
            <w:tcBorders>
              <w:bottom w:val="single" w:sz="8" w:color="CCEEFF"/>
            </w:tcBorders>
            <w:gridSpan w:val="2"/>
            <w:vMerge w:val="continue"/>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240" w:type="dxa"/>
            <w:vAlign w:val="bottom"/>
            <w:tcBorders>
              <w:left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of euros)</w:t>
            </w:r>
          </w:p>
        </w:tc>
        <w:tc>
          <w:tcPr>
            <w:tcW w:w="13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40" w:type="dxa"/>
            <w:vAlign w:val="bottom"/>
          </w:tcPr>
          <w:p>
            <w:pPr>
              <w:spacing w:after="0"/>
              <w:rPr>
                <w:sz w:val="24"/>
                <w:szCs w:val="24"/>
                <w:color w:val="auto"/>
              </w:rPr>
            </w:pPr>
          </w:p>
        </w:tc>
        <w:tc>
          <w:tcPr>
            <w:tcW w:w="12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ROU</w:t>
            </w:r>
          </w:p>
        </w:tc>
        <w:tc>
          <w:tcPr>
            <w:tcW w:w="0" w:type="dxa"/>
            <w:vAlign w:val="bottom"/>
          </w:tcPr>
          <w:p>
            <w:pPr>
              <w:spacing w:after="0"/>
              <w:rPr>
                <w:sz w:val="1"/>
                <w:szCs w:val="1"/>
                <w:color w:val="auto"/>
              </w:rPr>
            </w:pPr>
          </w:p>
        </w:tc>
      </w:tr>
      <w:tr>
        <w:trPr>
          <w:trHeight w:val="287"/>
        </w:trPr>
        <w:tc>
          <w:tcPr>
            <w:tcW w:w="3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VALUES</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4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36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4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2,205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366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2,666</w:t>
            </w:r>
          </w:p>
        </w:tc>
        <w:tc>
          <w:tcPr>
            <w:tcW w:w="60" w:type="dxa"/>
            <w:vAlign w:val="bottom"/>
          </w:tcPr>
          <w:p>
            <w:pPr>
              <w:spacing w:after="0"/>
              <w:rPr>
                <w:sz w:val="15"/>
                <w:szCs w:val="15"/>
                <w:color w:val="auto"/>
              </w:rPr>
            </w:pP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1,950</w:t>
            </w:r>
          </w:p>
        </w:tc>
        <w:tc>
          <w:tcPr>
            <w:tcW w:w="0" w:type="dxa"/>
            <w:vAlign w:val="bottom"/>
          </w:tcPr>
          <w:p>
            <w:pPr>
              <w:spacing w:after="0"/>
              <w:rPr>
                <w:sz w:val="1"/>
                <w:szCs w:val="1"/>
                <w:color w:val="auto"/>
              </w:rPr>
            </w:pPr>
          </w:p>
        </w:tc>
      </w:tr>
      <w:tr>
        <w:trPr>
          <w:trHeight w:val="109"/>
        </w:trPr>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325</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2,090</w:t>
            </w:r>
          </w:p>
        </w:tc>
        <w:tc>
          <w:tcPr>
            <w:tcW w:w="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1,563</w:t>
            </w:r>
          </w:p>
        </w:tc>
        <w:tc>
          <w:tcPr>
            <w:tcW w:w="0" w:type="dxa"/>
            <w:vAlign w:val="bottom"/>
          </w:tcPr>
          <w:p>
            <w:pPr>
              <w:spacing w:after="0"/>
              <w:rPr>
                <w:sz w:val="1"/>
                <w:szCs w:val="1"/>
                <w:color w:val="auto"/>
              </w:rPr>
            </w:pPr>
          </w:p>
        </w:tc>
      </w:tr>
      <w:tr>
        <w:trPr>
          <w:trHeight w:val="109"/>
        </w:trPr>
        <w:tc>
          <w:tcPr>
            <w:tcW w:w="36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20" w:type="dxa"/>
            <w:vAlign w:val="bottom"/>
            <w:gridSpan w:val="2"/>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0" w:type="dxa"/>
            <w:vAlign w:val="bottom"/>
            <w:gridSpan w:val="4"/>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64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4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1,395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326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1,783</w:t>
            </w:r>
          </w:p>
        </w:tc>
        <w:tc>
          <w:tcPr>
            <w:tcW w:w="60" w:type="dxa"/>
            <w:vAlign w:val="bottom"/>
          </w:tcPr>
          <w:p>
            <w:pPr>
              <w:spacing w:after="0"/>
              <w:rPr>
                <w:sz w:val="15"/>
                <w:szCs w:val="15"/>
                <w:color w:val="auto"/>
              </w:rPr>
            </w:pP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1,286</w:t>
            </w:r>
          </w:p>
        </w:tc>
        <w:tc>
          <w:tcPr>
            <w:tcW w:w="0" w:type="dxa"/>
            <w:vAlign w:val="bottom"/>
          </w:tcPr>
          <w:p>
            <w:pPr>
              <w:spacing w:after="0"/>
              <w:rPr>
                <w:sz w:val="1"/>
                <w:szCs w:val="1"/>
                <w:color w:val="auto"/>
              </w:rPr>
            </w:pPr>
          </w:p>
        </w:tc>
      </w:tr>
      <w:tr>
        <w:trPr>
          <w:trHeight w:val="109"/>
        </w:trPr>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Right of use assets relate to buildings, vehicles and furniture. The net book value of right of use assets related to buildings amounted to €1,655 thousand as of March 31, 2025, €1,473 thousand as of December 31, 2025 and €1,201 thousand as of March 31, 2026.</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ectPr>
          <w:pgSz w:w="11900" w:h="16838" w:orient="portrait"/>
          <w:cols w:equalWidth="0" w:num="1">
            <w:col w:w="9720"/>
          </w:cols>
          <w:pgMar w:left="1080" w:top="1440" w:right="1099" w:bottom="1440" w:gutter="0" w:footer="0" w:header="0"/>
          <w:type w:val="continuous"/>
        </w:sectPr>
      </w:pPr>
    </w:p>
    <w:bookmarkStart w:id="32" w:name="page33"/>
    <w:bookmarkEnd w:id="32"/>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As of March 31, 2026, no indicator of impairment has been identified.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Other financial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financial assets break down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81"/>
        </w:trPr>
        <w:tc>
          <w:tcPr>
            <w:tcW w:w="4440" w:type="dxa"/>
            <w:vAlign w:val="bottom"/>
          </w:tcPr>
          <w:p>
            <w:pPr>
              <w:spacing w:after="0"/>
              <w:rPr>
                <w:sz w:val="7"/>
                <w:szCs w:val="7"/>
                <w:color w:val="auto"/>
              </w:rPr>
            </w:pPr>
          </w:p>
        </w:tc>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4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09"/>
        </w:trPr>
        <w:tc>
          <w:tcPr>
            <w:tcW w:w="44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440" w:type="dxa"/>
            <w:vAlign w:val="bottom"/>
            <w:tcBorders>
              <w:bottom w:val="single" w:sz="8" w:color="CCEEFF"/>
            </w:tcBorders>
            <w:vMerge w:val="continue"/>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OTHER FINANCIAL ASSETS</w:t>
            </w: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Advances related to CRO contracts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4,665</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4,693</w:t>
            </w:r>
          </w:p>
        </w:tc>
        <w:tc>
          <w:tcPr>
            <w:tcW w:w="0" w:type="dxa"/>
            <w:vAlign w:val="bottom"/>
          </w:tcPr>
          <w:p>
            <w:pPr>
              <w:spacing w:after="0"/>
              <w:rPr>
                <w:sz w:val="1"/>
                <w:szCs w:val="1"/>
                <w:color w:val="auto"/>
              </w:rPr>
            </w:pPr>
          </w:p>
        </w:tc>
      </w:tr>
      <w:tr>
        <w:trPr>
          <w:trHeight w:val="221"/>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Deposits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6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169"/>
        </w:trPr>
        <w:tc>
          <w:tcPr>
            <w:tcW w:w="4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other non-current financial assets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5,358</w:t>
            </w:r>
          </w:p>
        </w:tc>
        <w:tc>
          <w:tcPr>
            <w:tcW w:w="6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5,395</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Advances related to CRO contracts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7,717</w:t>
            </w: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w:t>
            </w:r>
          </w:p>
        </w:tc>
        <w:tc>
          <w:tcPr>
            <w:tcW w:w="0" w:type="dxa"/>
            <w:vAlign w:val="bottom"/>
          </w:tcPr>
          <w:p>
            <w:pPr>
              <w:spacing w:after="0"/>
              <w:rPr>
                <w:sz w:val="1"/>
                <w:szCs w:val="1"/>
                <w:color w:val="auto"/>
              </w:rPr>
            </w:pPr>
          </w:p>
        </w:tc>
      </w:tr>
      <w:tr>
        <w:trPr>
          <w:trHeight w:val="211"/>
        </w:trPr>
        <w:tc>
          <w:tcPr>
            <w:tcW w:w="4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Other investments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14,128</w:t>
            </w:r>
          </w:p>
        </w:tc>
        <w:tc>
          <w:tcPr>
            <w:tcW w:w="0" w:type="dxa"/>
            <w:vAlign w:val="bottom"/>
          </w:tcPr>
          <w:p>
            <w:pPr>
              <w:spacing w:after="0"/>
              <w:rPr>
                <w:sz w:val="1"/>
                <w:szCs w:val="1"/>
                <w:color w:val="auto"/>
              </w:rPr>
            </w:pPr>
          </w:p>
        </w:tc>
      </w:tr>
      <w:tr>
        <w:trPr>
          <w:trHeight w:val="199"/>
        </w:trPr>
        <w:tc>
          <w:tcPr>
            <w:tcW w:w="4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other current financial assets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21,415</w:t>
            </w:r>
          </w:p>
        </w:tc>
        <w:tc>
          <w:tcPr>
            <w:tcW w:w="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22,032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financial assets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440" w:type="dxa"/>
            <w:vAlign w:val="bottom"/>
            <w:vMerge w:val="continue"/>
          </w:tcPr>
          <w:p>
            <w:pPr>
              <w:spacing w:after="0"/>
              <w:rPr>
                <w:sz w:val="11"/>
                <w:szCs w:val="11"/>
                <w:color w:val="auto"/>
              </w:rPr>
            </w:pPr>
          </w:p>
        </w:tc>
        <w:tc>
          <w:tcPr>
            <w:tcW w:w="13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26,772</w:t>
            </w:r>
          </w:p>
        </w:tc>
        <w:tc>
          <w:tcPr>
            <w:tcW w:w="60" w:type="dxa"/>
            <w:vAlign w:val="bottom"/>
          </w:tcPr>
          <w:p>
            <w:pPr>
              <w:spacing w:after="0"/>
              <w:rPr>
                <w:sz w:val="11"/>
                <w:szCs w:val="11"/>
                <w:color w:val="auto"/>
              </w:rPr>
            </w:pPr>
          </w:p>
        </w:tc>
        <w:tc>
          <w:tcPr>
            <w:tcW w:w="13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27,426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related to CRO contracts</w:t>
      </w:r>
    </w:p>
    <w:p>
      <w:pPr>
        <w:spacing w:after="0" w:line="133"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These advances granted in 2022 for a total undiscounted amount of €12,187 thousand for clinical studies are to be recovered at the end of the studies after final reconciliation with pass-through costs, which are being invoiced and paid as studies are carried out. These long-term advances were measured at fair value on initial recognition, using discount rates ranging from 0.19% to 7.16%, and are subsequently measured at amortized cost. The recovery dates of the first two advances are scheduled in 2026.</w:t>
      </w:r>
    </w:p>
    <w:p>
      <w:pPr>
        <w:spacing w:after="0" w:line="5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first half of 2023, additional advances related to CRO contracts amounting to €1,620 thousand were made (undiscounted amount). These long-term advances were measured at fair value on initial recognition, using discount rates ranging from 7.09% to 7.59%, and are subsequently measured at amortized cost.</w:t>
      </w:r>
    </w:p>
    <w:p>
      <w:pPr>
        <w:spacing w:after="0" w:line="68" w:lineRule="exact"/>
        <w:rPr>
          <w:sz w:val="20"/>
          <w:szCs w:val="20"/>
          <w:color w:val="auto"/>
        </w:rPr>
      </w:pPr>
    </w:p>
    <w:p>
      <w:pPr>
        <w:ind w:right="400"/>
        <w:spacing w:after="0" w:line="313" w:lineRule="auto"/>
        <w:rPr>
          <w:sz w:val="20"/>
          <w:szCs w:val="20"/>
          <w:color w:val="auto"/>
        </w:rPr>
      </w:pPr>
      <w:r>
        <w:rPr>
          <w:rFonts w:ascii="Times New Roman" w:cs="Times New Roman" w:eastAsia="Times New Roman" w:hAnsi="Times New Roman"/>
          <w:sz w:val="18"/>
          <w:szCs w:val="18"/>
          <w:color w:val="auto"/>
        </w:rPr>
        <w:t>At inception, a prepaid expenses asset was recognized for the difference between the advances’ nominal value and fair value, and spread over the term of the advances, at the rate of recognition of the related R&amp;D expenses (see Note 10).</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2024, a change order was signed with the CRO, extending the scope (addition of maintenance studies) and end date of one of the studies to 2029, thus postponing the recovery date of the corresponding advance of €5,538 thousand from June 2026 to June 2029. The Group considered that this asset modification met the criteria for derecognition, and recognized a new financial asset at fair value on that date, using a discount rate of 6.83%. Since the Group considers that these advances are made in exchange for a discount on future services to be received from the CROs, a prepaid expense asset was also recognized for the difference between the derecognized asset carrying value and new asset fair value, and spread over the term of the advance (equal to the period of service) in a similar manner.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recovery dates of these advances are spread from 2026 to 2030.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risk related to these advances is deemed insignificant due to the CROs' credit ratings.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investments</w:t>
      </w:r>
    </w:p>
    <w:p>
      <w:pPr>
        <w:spacing w:after="0" w:line="22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Other investments consist of 9-month and 12-month term deposits that do not qualify for a classification under cash and cash equivalents.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include amounts related to the Paris and Boston offices lease contracts, the ATM Program, as well as other security deposits.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ectPr>
          <w:pgSz w:w="11900" w:h="16838" w:orient="portrait"/>
          <w:cols w:equalWidth="0" w:num="1">
            <w:col w:w="9720"/>
          </w:cols>
          <w:pgMar w:left="1080" w:top="1440" w:right="109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receivables and assets</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Other receivables and assets break down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6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7"/>
        </w:trPr>
        <w:tc>
          <w:tcPr>
            <w:tcW w:w="4260" w:type="dxa"/>
            <w:vAlign w:val="bottom"/>
          </w:tcPr>
          <w:p>
            <w:pPr>
              <w:ind w:left="118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OTHER RECEIVABLES AND ASSETS</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tax credit ("CIR")</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0" w:type="dxa"/>
            <w:vAlign w:val="bottom"/>
          </w:tcPr>
          <w:p>
            <w:pPr>
              <w:spacing w:after="0"/>
              <w:rPr>
                <w:sz w:val="1"/>
                <w:szCs w:val="1"/>
                <w:color w:val="auto"/>
              </w:rPr>
            </w:pPr>
          </w:p>
        </w:tc>
      </w:tr>
      <w:tr>
        <w:trPr>
          <w:trHeight w:val="221"/>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Prepaid expenses</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69"/>
        </w:trPr>
        <w:tc>
          <w:tcPr>
            <w:tcW w:w="4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non-current other receivables and assets</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625</w:t>
            </w:r>
          </w:p>
        </w:tc>
        <w:tc>
          <w:tcPr>
            <w:tcW w:w="4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1,720</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Research tax credit ("CIR")</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3,196</w:t>
            </w: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0" w:type="dxa"/>
            <w:vAlign w:val="bottom"/>
          </w:tcPr>
          <w:p>
            <w:pPr>
              <w:spacing w:after="0"/>
              <w:rPr>
                <w:sz w:val="1"/>
                <w:szCs w:val="1"/>
                <w:color w:val="auto"/>
              </w:rPr>
            </w:pPr>
          </w:p>
        </w:tc>
      </w:tr>
      <w:tr>
        <w:trPr>
          <w:trHeight w:val="211"/>
        </w:trPr>
        <w:tc>
          <w:tcPr>
            <w:tcW w:w="4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VAT receivables</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6,870</w:t>
            </w: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7,423</w:t>
            </w:r>
          </w:p>
        </w:tc>
        <w:tc>
          <w:tcPr>
            <w:tcW w:w="0" w:type="dxa"/>
            <w:vAlign w:val="bottom"/>
          </w:tcPr>
          <w:p>
            <w:pPr>
              <w:spacing w:after="0"/>
              <w:rPr>
                <w:sz w:val="1"/>
                <w:szCs w:val="1"/>
                <w:color w:val="auto"/>
              </w:rPr>
            </w:pPr>
          </w:p>
        </w:tc>
      </w:tr>
      <w:tr>
        <w:trPr>
          <w:trHeight w:val="221"/>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Prepaid expenses</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2,649</w:t>
            </w: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0" w:type="dxa"/>
            <w:vAlign w:val="bottom"/>
          </w:tcPr>
          <w:p>
            <w:pPr>
              <w:spacing w:after="0"/>
              <w:rPr>
                <w:sz w:val="1"/>
                <w:szCs w:val="1"/>
                <w:color w:val="auto"/>
              </w:rPr>
            </w:pPr>
          </w:p>
        </w:tc>
      </w:tr>
      <w:tr>
        <w:trPr>
          <w:trHeight w:val="211"/>
        </w:trPr>
        <w:tc>
          <w:tcPr>
            <w:tcW w:w="4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Employee-related receivables</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429</w:t>
            </w:r>
          </w:p>
        </w:tc>
        <w:tc>
          <w:tcPr>
            <w:tcW w:w="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99"/>
        </w:trPr>
        <w:tc>
          <w:tcPr>
            <w:tcW w:w="4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current other receivables and assets</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13,144</w:t>
            </w:r>
          </w:p>
        </w:tc>
        <w:tc>
          <w:tcPr>
            <w:tcW w:w="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13,766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receivables and assets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vMerge w:val="continue"/>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13,769</w:t>
            </w:r>
          </w:p>
        </w:tc>
        <w:tc>
          <w:tcPr>
            <w:tcW w:w="4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15,486</w:t>
            </w: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tax credit (“CIR”)</w:t>
      </w:r>
    </w:p>
    <w:p>
      <w:pPr>
        <w:spacing w:after="0" w:line="1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CIR is recognized as Other Operating Income in the year to which the eligible research expense relates. The Group received the payment for the CIR for the 2024 tax year of €5,640 thousand in June 2025 and expects to receive the CIR for the 2025 year of €3,196 thousand in the second half of 2026. The additional CIR of €1,139 thousand recorded over the three-month period ended March 31, 2026 relates to research expenses incurred during the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Prepaid expenses as of March 31, 2026 include prepaid expenses related to CRO contracts for an amount of €961 thousand (see Note 9) and other expenses from various suppliers amounting to €2,577 thousand.</w:t>
      </w:r>
    </w:p>
    <w:p>
      <w:pPr>
        <w:sectPr>
          <w:pgSz w:w="11900" w:h="16838" w:orient="portrait"/>
          <w:cols w:equalWidth="0" w:num="1">
            <w:col w:w="9680"/>
          </w:cols>
          <w:pgMar w:left="108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F-18</w:t>
      </w:r>
    </w:p>
    <w:p>
      <w:pPr>
        <w:sectPr>
          <w:pgSz w:w="11900" w:h="16838" w:orient="portrait"/>
          <w:cols w:equalWidth="0" w:num="1">
            <w:col w:w="9680"/>
          </w:cols>
          <w:pgMar w:left="1080" w:top="1440" w:right="1139" w:bottom="1440" w:gutter="0" w:footer="0" w:header="0"/>
          <w:type w:val="continuous"/>
        </w:sectPr>
      </w:pPr>
    </w:p>
    <w:bookmarkStart w:id="34" w:name="page35"/>
    <w:bookmarkEnd w:id="34"/>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11. Cash and cash equivalents</w:t>
      </w:r>
    </w:p>
    <w:p>
      <w:pPr>
        <w:spacing w:after="0" w:line="1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231F20"/>
        </w:rPr>
        <w:t>Cash and cash equivalents break down as follows:</w:t>
      </w:r>
    </w:p>
    <w:p>
      <w:pPr>
        <w:spacing w:after="0" w:line="200" w:lineRule="exact"/>
        <w:rPr>
          <w:sz w:val="20"/>
          <w:szCs w:val="20"/>
          <w:color w:val="auto"/>
        </w:rPr>
      </w:pP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94"/>
        </w:trPr>
        <w:tc>
          <w:tcPr>
            <w:tcW w:w="4320" w:type="dxa"/>
            <w:vAlign w:val="bottom"/>
          </w:tcPr>
          <w:p>
            <w:pPr>
              <w:spacing w:after="0"/>
              <w:rPr>
                <w:sz w:val="8"/>
                <w:szCs w:val="8"/>
                <w:color w:val="auto"/>
              </w:rPr>
            </w:pPr>
          </w:p>
        </w:tc>
        <w:tc>
          <w:tcPr>
            <w:tcW w:w="14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3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09"/>
        </w:trPr>
        <w:tc>
          <w:tcPr>
            <w:tcW w:w="432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4320" w:type="dxa"/>
            <w:vAlign w:val="bottom"/>
            <w:tcBorders>
              <w:bottom w:val="single" w:sz="8" w:color="CCECFF"/>
            </w:tcBorders>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CFF"/>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3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1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equivalents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478,541</w:t>
            </w:r>
          </w:p>
        </w:tc>
        <w:tc>
          <w:tcPr>
            <w:tcW w:w="6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448,352</w:t>
            </w:r>
          </w:p>
        </w:tc>
        <w:tc>
          <w:tcPr>
            <w:tcW w:w="0" w:type="dxa"/>
            <w:vAlign w:val="bottom"/>
          </w:tcPr>
          <w:p>
            <w:pPr>
              <w:spacing w:after="0"/>
              <w:rPr>
                <w:sz w:val="1"/>
                <w:szCs w:val="1"/>
                <w:color w:val="auto"/>
              </w:rPr>
            </w:pPr>
          </w:p>
        </w:tc>
      </w:tr>
      <w:tr>
        <w:trPr>
          <w:trHeight w:val="228"/>
        </w:trPr>
        <w:tc>
          <w:tcPr>
            <w:tcW w:w="432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4"/>
                <w:szCs w:val="14"/>
                <w:color w:val="auto"/>
              </w:rPr>
              <w:t>Cash</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38,144</w:t>
            </w:r>
          </w:p>
        </w:tc>
        <w:tc>
          <w:tcPr>
            <w:tcW w:w="60" w:type="dxa"/>
            <w:vAlign w:val="bottom"/>
            <w:tcBorders>
              <w:bottom w:val="single" w:sz="8" w:color="CCECFF"/>
            </w:tcBorders>
            <w:shd w:val="clear" w:color="auto" w:fill="CCECFF"/>
          </w:tcPr>
          <w:p>
            <w:pPr>
              <w:spacing w:after="0"/>
              <w:rPr>
                <w:sz w:val="19"/>
                <w:szCs w:val="19"/>
                <w:color w:val="auto"/>
              </w:rPr>
            </w:pPr>
          </w:p>
        </w:tc>
        <w:tc>
          <w:tcPr>
            <w:tcW w:w="136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29,070</w:t>
            </w:r>
          </w:p>
        </w:tc>
        <w:tc>
          <w:tcPr>
            <w:tcW w:w="0" w:type="dxa"/>
            <w:vAlign w:val="bottom"/>
          </w:tcPr>
          <w:p>
            <w:pPr>
              <w:spacing w:after="0"/>
              <w:rPr>
                <w:sz w:val="1"/>
                <w:szCs w:val="1"/>
                <w:color w:val="auto"/>
              </w:rPr>
            </w:pPr>
          </w:p>
        </w:tc>
      </w:tr>
      <w:tr>
        <w:trPr>
          <w:trHeight w:val="163"/>
        </w:trPr>
        <w:tc>
          <w:tcPr>
            <w:tcW w:w="4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516,685</w:t>
            </w:r>
          </w:p>
        </w:tc>
        <w:tc>
          <w:tcPr>
            <w:tcW w:w="6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477,423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equivalents mainly include term deposits with short-term maturities and highly liquid investments in mutual funds (measured at amortized cost) and highly liquid investments in mutual funds and structured notes (measured at fair value through profit or loss) denominated in euros and U.S. dollars. Cash equivalents include the invested proceeds from the Offering.</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2025 and March 31, 2026, in addition to the Group’s bank accounts, cash includes notice accounts amounting to €5,744 thousand and €4,147 thousand respectively. These funds are available on demand within 24 hours and without penalty.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March 31, 2026, the impact of the revaluation of cash and cash equivalents held in U.S. dollars into the Company's functional currency is a net financial expense of €8,639 thousand and a net financial gain of €2,500 thousand, respectively.</w:t>
      </w:r>
    </w:p>
    <w:p>
      <w:pPr>
        <w:sectPr>
          <w:pgSz w:w="11900" w:h="16838" w:orient="portrait"/>
          <w:cols w:equalWidth="0" w:num="1">
            <w:col w:w="9700"/>
          </w:cols>
          <w:pgMar w:left="108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9700"/>
          </w:cols>
          <w:pgMar w:left="1080" w:top="1440" w:right="1119" w:bottom="1440" w:gutter="0" w:footer="0" w:header="0"/>
          <w:type w:val="continuous"/>
        </w:sectPr>
      </w:pPr>
    </w:p>
    <w:bookmarkStart w:id="35" w:name="page36"/>
    <w:bookmarkEnd w:id="35"/>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12. Financial assets and liabilities</w:t>
      </w:r>
    </w:p>
    <w:p>
      <w:pPr>
        <w:spacing w:after="0" w:line="148" w:lineRule="exact"/>
        <w:rPr>
          <w:sz w:val="20"/>
          <w:szCs w:val="20"/>
          <w:color w:val="auto"/>
        </w:rPr>
      </w:pPr>
    </w:p>
    <w:p>
      <w:pPr>
        <w:ind w:left="140" w:right="880"/>
        <w:spacing w:after="0" w:line="261" w:lineRule="auto"/>
        <w:rPr>
          <w:sz w:val="20"/>
          <w:szCs w:val="20"/>
          <w:color w:val="auto"/>
        </w:rPr>
      </w:pPr>
      <w:r>
        <w:rPr>
          <w:rFonts w:ascii="Times New Roman" w:cs="Times New Roman" w:eastAsia="Times New Roman" w:hAnsi="Times New Roman"/>
          <w:sz w:val="18"/>
          <w:szCs w:val="18"/>
          <w:color w:val="231F20"/>
        </w:rPr>
        <w:t>The following table shows the carrying amounts and fair value of financial assets and financial liabilities, including their levels in the fair value hierarchy.</w:t>
      </w:r>
    </w:p>
    <w:p>
      <w:pPr>
        <w:ind w:left="140" w:right="760"/>
        <w:spacing w:after="0" w:line="260" w:lineRule="auto"/>
        <w:rPr>
          <w:sz w:val="20"/>
          <w:szCs w:val="20"/>
          <w:color w:val="auto"/>
        </w:rPr>
      </w:pPr>
      <w:r>
        <w:rPr>
          <w:rFonts w:ascii="Times New Roman" w:cs="Times New Roman" w:eastAsia="Times New Roman" w:hAnsi="Times New Roman"/>
          <w:sz w:val="18"/>
          <w:szCs w:val="18"/>
          <w:color w:val="231F20"/>
        </w:rPr>
        <w:t>Tax and employee-related payables are non-financial liabilities and are therefore excluded from the tables below. They are presented in Note 17.2.</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20" w:type="dxa"/>
            <w:vAlign w:val="bottom"/>
          </w:tcPr>
          <w:p>
            <w:pPr>
              <w:spacing w:after="0"/>
              <w:rPr>
                <w:sz w:val="17"/>
                <w:szCs w:val="17"/>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LIABILITIES AT</w:t>
            </w: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ASSETS AT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 FINANCIAL</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PROFIT AND</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AMORTIZED</w:t>
            </w:r>
          </w:p>
        </w:tc>
        <w:tc>
          <w:tcPr>
            <w:tcW w:w="0" w:type="dxa"/>
            <w:vAlign w:val="bottom"/>
          </w:tcPr>
          <w:p>
            <w:pPr>
              <w:spacing w:after="0"/>
              <w:rPr>
                <w:sz w:val="1"/>
                <w:szCs w:val="1"/>
                <w:color w:val="auto"/>
              </w:rPr>
            </w:pPr>
          </w:p>
        </w:tc>
      </w:tr>
      <w:tr>
        <w:trPr>
          <w:trHeight w:val="187"/>
        </w:trPr>
        <w:tc>
          <w:tcPr>
            <w:tcW w:w="34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COST</w:t>
            </w:r>
          </w:p>
        </w:tc>
        <w:tc>
          <w:tcPr>
            <w:tcW w:w="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financial assets (2)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26,772</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27,141</w:t>
            </w:r>
          </w:p>
        </w:tc>
        <w:tc>
          <w:tcPr>
            <w:tcW w:w="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27,141</w:t>
            </w:r>
          </w:p>
        </w:tc>
        <w:tc>
          <w:tcPr>
            <w:tcW w:w="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3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receivables and assets (2)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13,769</w:t>
            </w: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13,769</w:t>
            </w:r>
          </w:p>
        </w:tc>
        <w:tc>
          <w:tcPr>
            <w:tcW w:w="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13,769</w:t>
            </w:r>
          </w:p>
        </w:tc>
        <w:tc>
          <w:tcPr>
            <w:tcW w:w="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and cash equivalents (1)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516,685</w:t>
            </w:r>
          </w:p>
        </w:tc>
        <w:tc>
          <w:tcPr>
            <w:tcW w:w="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516,685</w:t>
            </w:r>
          </w:p>
        </w:tc>
        <w:tc>
          <w:tcPr>
            <w:tcW w:w="6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437,031</w:t>
            </w:r>
          </w:p>
        </w:tc>
        <w:tc>
          <w:tcPr>
            <w:tcW w:w="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79,654</w:t>
            </w:r>
          </w:p>
        </w:tc>
        <w:tc>
          <w:tcPr>
            <w:tcW w:w="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financial assets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557,226</w:t>
            </w:r>
          </w:p>
        </w:tc>
        <w:tc>
          <w:tcPr>
            <w:tcW w:w="4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557,595</w:t>
            </w:r>
          </w:p>
        </w:tc>
        <w:tc>
          <w:tcPr>
            <w:tcW w:w="6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437,031</w:t>
            </w:r>
          </w:p>
        </w:tc>
        <w:tc>
          <w:tcPr>
            <w:tcW w:w="6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120,565</w:t>
            </w:r>
          </w:p>
        </w:tc>
        <w:tc>
          <w:tcPr>
            <w:tcW w:w="4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Financial liabilities—non-current portion (4, Note 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30,790</w:t>
            </w: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102,555</w:t>
            </w:r>
          </w:p>
        </w:tc>
        <w:tc>
          <w:tcPr>
            <w:tcW w:w="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102,555</w:t>
            </w:r>
          </w:p>
        </w:tc>
        <w:tc>
          <w:tcPr>
            <w:tcW w:w="0" w:type="dxa"/>
            <w:vAlign w:val="bottom"/>
          </w:tcPr>
          <w:p>
            <w:pPr>
              <w:spacing w:after="0"/>
              <w:rPr>
                <w:sz w:val="1"/>
                <w:szCs w:val="1"/>
                <w:color w:val="auto"/>
              </w:rPr>
            </w:pPr>
          </w:p>
        </w:tc>
      </w:tr>
      <w:tr>
        <w:trPr>
          <w:trHeight w:val="211"/>
        </w:trPr>
        <w:tc>
          <w:tcPr>
            <w:tcW w:w="3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Financial liabilities—current portion (3, Note 15)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Trade payables and other current liabilities (3)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37,552</w:t>
            </w:r>
          </w:p>
        </w:tc>
        <w:tc>
          <w:tcPr>
            <w:tcW w:w="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37,552</w:t>
            </w:r>
          </w:p>
        </w:tc>
        <w:tc>
          <w:tcPr>
            <w:tcW w:w="6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37,552</w:t>
            </w:r>
          </w:p>
        </w:tc>
        <w:tc>
          <w:tcPr>
            <w:tcW w:w="0" w:type="dxa"/>
            <w:vAlign w:val="bottom"/>
          </w:tcPr>
          <w:p>
            <w:pPr>
              <w:spacing w:after="0"/>
              <w:rPr>
                <w:sz w:val="1"/>
                <w:szCs w:val="1"/>
                <w:color w:val="auto"/>
              </w:rPr>
            </w:pPr>
          </w:p>
        </w:tc>
      </w:tr>
      <w:tr>
        <w:trPr>
          <w:trHeight w:val="169"/>
        </w:trPr>
        <w:tc>
          <w:tcPr>
            <w:tcW w:w="3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69,644</w:t>
            </w:r>
          </w:p>
        </w:tc>
        <w:tc>
          <w:tcPr>
            <w:tcW w:w="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141,409</w:t>
            </w:r>
          </w:p>
        </w:tc>
        <w:tc>
          <w:tcPr>
            <w:tcW w:w="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141,409</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3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4"/>
                <w:szCs w:val="24"/>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LIABILITIES AT</w:t>
            </w: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ASSETS AT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75"/>
        </w:trPr>
        <w:tc>
          <w:tcPr>
            <w:tcW w:w="3420" w:type="dxa"/>
            <w:vAlign w:val="bottom"/>
            <w:vMerge w:val="restart"/>
          </w:tcPr>
          <w:p>
            <w:pPr>
              <w:ind w:left="8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 FINANCIAL</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PROFIT AND</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AMORTIZED</w:t>
            </w:r>
          </w:p>
        </w:tc>
        <w:tc>
          <w:tcPr>
            <w:tcW w:w="0" w:type="dxa"/>
            <w:vAlign w:val="bottom"/>
          </w:tcPr>
          <w:p>
            <w:pPr>
              <w:spacing w:after="0"/>
              <w:rPr>
                <w:sz w:val="1"/>
                <w:szCs w:val="1"/>
                <w:color w:val="auto"/>
              </w:rPr>
            </w:pPr>
          </w:p>
        </w:tc>
      </w:tr>
      <w:tr>
        <w:trPr>
          <w:trHeight w:val="187"/>
        </w:trPr>
        <w:tc>
          <w:tcPr>
            <w:tcW w:w="342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COST</w:t>
            </w:r>
          </w:p>
        </w:tc>
        <w:tc>
          <w:tcPr>
            <w:tcW w:w="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financial assets (2)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27,426</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27,444</w:t>
            </w:r>
          </w:p>
        </w:tc>
        <w:tc>
          <w:tcPr>
            <w:tcW w:w="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27,444</w:t>
            </w:r>
          </w:p>
        </w:tc>
        <w:tc>
          <w:tcPr>
            <w:tcW w:w="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3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receivables and assets (2)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15,486</w:t>
            </w: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15,486</w:t>
            </w:r>
          </w:p>
        </w:tc>
        <w:tc>
          <w:tcPr>
            <w:tcW w:w="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15,486</w:t>
            </w:r>
          </w:p>
        </w:tc>
        <w:tc>
          <w:tcPr>
            <w:tcW w:w="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and cash equivalents (1)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477,423</w:t>
            </w:r>
          </w:p>
        </w:tc>
        <w:tc>
          <w:tcPr>
            <w:tcW w:w="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477,423</w:t>
            </w:r>
          </w:p>
        </w:tc>
        <w:tc>
          <w:tcPr>
            <w:tcW w:w="6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410,972</w:t>
            </w:r>
          </w:p>
        </w:tc>
        <w:tc>
          <w:tcPr>
            <w:tcW w:w="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66,451</w:t>
            </w:r>
          </w:p>
        </w:tc>
        <w:tc>
          <w:tcPr>
            <w:tcW w:w="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financial assets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520,335</w:t>
            </w:r>
          </w:p>
        </w:tc>
        <w:tc>
          <w:tcPr>
            <w:tcW w:w="4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520,353</w:t>
            </w:r>
          </w:p>
        </w:tc>
        <w:tc>
          <w:tcPr>
            <w:tcW w:w="6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410,972</w:t>
            </w:r>
          </w:p>
        </w:tc>
        <w:tc>
          <w:tcPr>
            <w:tcW w:w="6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109,381</w:t>
            </w:r>
          </w:p>
        </w:tc>
        <w:tc>
          <w:tcPr>
            <w:tcW w:w="4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Financial liabilities—non-current portion (4, Note 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33,110</w:t>
            </w: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104,379</w:t>
            </w:r>
          </w:p>
        </w:tc>
        <w:tc>
          <w:tcPr>
            <w:tcW w:w="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104,379</w:t>
            </w:r>
          </w:p>
        </w:tc>
        <w:tc>
          <w:tcPr>
            <w:tcW w:w="0" w:type="dxa"/>
            <w:vAlign w:val="bottom"/>
          </w:tcPr>
          <w:p>
            <w:pPr>
              <w:spacing w:after="0"/>
              <w:rPr>
                <w:sz w:val="1"/>
                <w:szCs w:val="1"/>
                <w:color w:val="auto"/>
              </w:rPr>
            </w:pPr>
          </w:p>
        </w:tc>
      </w:tr>
      <w:tr>
        <w:trPr>
          <w:trHeight w:val="211"/>
        </w:trPr>
        <w:tc>
          <w:tcPr>
            <w:tcW w:w="3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Financial liabilities—current portion (3, Note 15)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Trade payables and other current liabilities (3)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29,514</w:t>
            </w:r>
          </w:p>
        </w:tc>
        <w:tc>
          <w:tcPr>
            <w:tcW w:w="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29,514</w:t>
            </w:r>
          </w:p>
        </w:tc>
        <w:tc>
          <w:tcPr>
            <w:tcW w:w="6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29,514</w:t>
            </w:r>
          </w:p>
        </w:tc>
        <w:tc>
          <w:tcPr>
            <w:tcW w:w="0" w:type="dxa"/>
            <w:vAlign w:val="bottom"/>
          </w:tcPr>
          <w:p>
            <w:pPr>
              <w:spacing w:after="0"/>
              <w:rPr>
                <w:sz w:val="1"/>
                <w:szCs w:val="1"/>
                <w:color w:val="auto"/>
              </w:rPr>
            </w:pPr>
          </w:p>
        </w:tc>
      </w:tr>
      <w:tr>
        <w:trPr>
          <w:trHeight w:val="169"/>
        </w:trPr>
        <w:tc>
          <w:tcPr>
            <w:tcW w:w="3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63,725</w:t>
            </w:r>
          </w:p>
        </w:tc>
        <w:tc>
          <w:tcPr>
            <w:tcW w:w="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134,993</w:t>
            </w:r>
          </w:p>
        </w:tc>
        <w:tc>
          <w:tcPr>
            <w:tcW w:w="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134,993</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60" w:firstLine="4"/>
        <w:spacing w:after="0" w:line="282"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cash and cash equivalents is determined based on Level 1 fair value measurement and corresponds to the market value of the assets.</w:t>
      </w:r>
    </w:p>
    <w:p>
      <w:pPr>
        <w:spacing w:after="0" w:line="161" w:lineRule="exact"/>
        <w:rPr>
          <w:rFonts w:ascii="Times New Roman" w:cs="Times New Roman" w:eastAsia="Times New Roman" w:hAnsi="Times New Roman"/>
          <w:sz w:val="18"/>
          <w:szCs w:val="18"/>
          <w:color w:val="auto"/>
        </w:rPr>
      </w:pPr>
    </w:p>
    <w:p>
      <w:pPr>
        <w:ind w:firstLine="4"/>
        <w:spacing w:after="0" w:line="246"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financial assets measured at amortized cost is deemed to be a reasonable estimate of fair value, except for the long-term advances made to CROs, whose fair value is determined based on Level 3 fair value measurement and is estimated based on future cash-flows discounted at market rates, using credit spreads ranging from 34 bp to 131 bp as of December 31, 2025 and 42 bp to 145 bp as of March 31, 2026. As of December 31, 2025 and March 31, 2026, an increase in the credit spread by +100 bp would result in a decrease in the advances fair value by €231 thousand and €195 thousand respectively.</w:t>
      </w:r>
    </w:p>
    <w:p>
      <w:pPr>
        <w:spacing w:after="0" w:line="181" w:lineRule="exact"/>
        <w:rPr>
          <w:rFonts w:ascii="Times New Roman" w:cs="Times New Roman" w:eastAsia="Times New Roman" w:hAnsi="Times New Roman"/>
          <w:sz w:val="18"/>
          <w:szCs w:val="18"/>
          <w:color w:val="auto"/>
        </w:rPr>
      </w:pPr>
    </w:p>
    <w:p>
      <w:pPr>
        <w:ind w:right="440" w:firstLine="4"/>
        <w:spacing w:after="0" w:line="282"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current financial liabilities measured at amortized cost, including Trade payables and other current liabilities, was deemed to be a reasonable estimate of fair value.</w:t>
      </w:r>
    </w:p>
    <w:p>
      <w:pPr>
        <w:sectPr>
          <w:pgSz w:w="11900" w:h="16838" w:orient="portrait"/>
          <w:cols w:equalWidth="0" w:num="1">
            <w:col w:w="9700"/>
          </w:cols>
          <w:pgMar w:left="108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F-20</w:t>
      </w:r>
    </w:p>
    <w:p>
      <w:pPr>
        <w:sectPr>
          <w:pgSz w:w="11900" w:h="16838" w:orient="portrait"/>
          <w:cols w:equalWidth="0" w:num="1">
            <w:col w:w="9700"/>
          </w:cols>
          <w:pgMar w:left="1080" w:top="1440" w:right="1119" w:bottom="1440" w:gutter="0" w:footer="0" w:header="0"/>
          <w:type w:val="continuous"/>
        </w:sectPr>
      </w:pPr>
    </w:p>
    <w:bookmarkStart w:id="36" w:name="page37"/>
    <w:bookmarkEnd w:id="36"/>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380" w:firstLine="4"/>
        <w:spacing w:after="0" w:line="282" w:lineRule="auto"/>
        <w:tabs>
          <w:tab w:leader="none" w:pos="4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royalty certificates, is based on Level 3 fair value measurement and is estimated based on models and assumptions detailed in Note 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Shareholders’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13.1. Share capital issued</w:t>
      </w:r>
    </w:p>
    <w:p>
      <w:pPr>
        <w:spacing w:after="0" w:line="13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231F20"/>
        </w:rPr>
        <w:t>The Group manages its capital to ensure that it will be able to continue as a going concern while maximizing the return to shareholders through the optimization of the debt and equity balance.</w:t>
      </w:r>
    </w:p>
    <w:p>
      <w:pPr>
        <w:spacing w:after="0" w:line="20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March 31, 2026, the Group's share capital amounted to €793 thousand divided into 79,291,188 ordinary shares issued with a par value of €0.01 each, fully paid up, after taking into account the various capital increases that took place since inception.</w:t>
      </w:r>
    </w:p>
    <w:p>
      <w:pPr>
        <w:spacing w:after="0" w:line="255" w:lineRule="auto"/>
        <w:rPr>
          <w:sz w:val="20"/>
          <w:szCs w:val="20"/>
          <w:color w:val="auto"/>
        </w:rPr>
      </w:pPr>
      <w:r>
        <w:rPr>
          <w:rFonts w:ascii="Times New Roman" w:cs="Times New Roman" w:eastAsia="Times New Roman" w:hAnsi="Times New Roman"/>
          <w:sz w:val="18"/>
          <w:szCs w:val="18"/>
          <w:color w:val="231F20"/>
        </w:rPr>
        <w:t>Share capital does not include founders’ share subscription warrants (“bons de souscription de parts de créateur d’entreprise” or “BCE”), share subscription warrants (“Bons de souscription d’actions,” or “BSA”) and free shares (“Attributions gratuites d’actions,” or “AGA”) that have been granted to certain natural persons, both employees and non-employees of the Group, but not yet exercised.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held none of its own shares as of December 31, 2025 and March 31, 2026.</w:t>
      </w:r>
    </w:p>
    <w:p>
      <w:pPr>
        <w:spacing w:after="0" w:line="198"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The number of outstanding ordinary shares was 78,536,412 and 79,291,188 as of December 31, 2025 and March 31, 2026,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13.2. Change in share capital</w:t>
      </w:r>
    </w:p>
    <w:p>
      <w:pPr>
        <w:spacing w:after="0" w:line="18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increase in the share capital for the three months ended March 31, 2026 relates to (i) the vesting of 752,236 AGAs and (ii) the exercise of 2,540 BCEs (see Note 14), resulting in the issuance of respectively 752,236 and 2,540 ordinary shares (i.e. 754,776 in the aggregate) with a par value of €0.01 per share.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of dividends</w:t>
      </w:r>
    </w:p>
    <w:p>
      <w:pPr>
        <w:spacing w:after="0" w:line="20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Group did not distribute any dividends during any of the periods presented, does not have any present plan to pay any cash dividends on its equity securities in the foreseeable future and currently intends to retain all available funds and any future earnings to operate and expand its business.</w:t>
      </w:r>
    </w:p>
    <w:p>
      <w:pPr>
        <w:sectPr>
          <w:pgSz w:w="11900" w:h="16838" w:orient="portrait"/>
          <w:cols w:equalWidth="0" w:num="1">
            <w:col w:w="9640"/>
          </w:cols>
          <w:pgMar w:left="1080" w:top="1440"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9640"/>
          </w:cols>
          <w:pgMar w:left="1080" w:top="1440" w:right="1179" w:bottom="1440" w:gutter="0" w:footer="0" w:header="0"/>
          <w:type w:val="continuous"/>
        </w:sectPr>
      </w:pPr>
    </w:p>
    <w:bookmarkStart w:id="37" w:name="page38"/>
    <w:bookmarkEnd w:id="37"/>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14. Share-based payments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Group has granted BCEs, BSAs and AGAs. These plans qualify as “equity settled” under IFRS 2. The Group does not have any obligation to purchase these instruments in the event of departure or if a specific event does not occur.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data relating to BCEs:</w:t>
      </w:r>
    </w:p>
    <w:p>
      <w:pPr>
        <w:spacing w:after="0" w:line="200" w:lineRule="exact"/>
        <w:rPr>
          <w:sz w:val="20"/>
          <w:szCs w:val="20"/>
          <w:color w:val="auto"/>
        </w:rPr>
      </w:pPr>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6"/>
                <w:szCs w:val="16"/>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4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TO</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BCE</w:t>
            </w:r>
          </w:p>
        </w:tc>
        <w:tc>
          <w:tcPr>
            <w:tcW w:w="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BCEs</w:t>
            </w:r>
          </w:p>
        </w:tc>
        <w:tc>
          <w:tcPr>
            <w:tcW w:w="40" w:type="dxa"/>
            <w:vAlign w:val="bottom"/>
          </w:tcPr>
          <w:p>
            <w:pPr>
              <w:spacing w:after="0"/>
              <w:rPr>
                <w:sz w:val="8"/>
                <w:szCs w:val="8"/>
                <w:color w:val="auto"/>
              </w:rPr>
            </w:pPr>
          </w:p>
        </w:tc>
        <w:tc>
          <w:tcPr>
            <w:tcW w:w="9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BCEs</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00" w:type="dxa"/>
            <w:vAlign w:val="bottom"/>
          </w:tcPr>
          <w:p>
            <w:pPr>
              <w:spacing w:after="0"/>
              <w:rPr>
                <w:sz w:val="8"/>
                <w:szCs w:val="8"/>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vMerge w:val="continue"/>
          </w:tcPr>
          <w:p>
            <w:pPr>
              <w:spacing w:after="0"/>
              <w:rPr>
                <w:sz w:val="8"/>
                <w:szCs w:val="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ISSUED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LAPSED</w:t>
            </w:r>
          </w:p>
        </w:tc>
        <w:tc>
          <w:tcPr>
            <w:tcW w:w="8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 ISSUED IF</w:t>
            </w:r>
          </w:p>
        </w:tc>
        <w:tc>
          <w:tcPr>
            <w:tcW w:w="0" w:type="dxa"/>
            <w:vAlign w:val="bottom"/>
          </w:tcPr>
          <w:p>
            <w:pPr>
              <w:spacing w:after="0"/>
              <w:rPr>
                <w:sz w:val="1"/>
                <w:szCs w:val="1"/>
                <w:color w:val="auto"/>
              </w:rPr>
            </w:pPr>
          </w:p>
        </w:tc>
      </w:tr>
      <w:tr>
        <w:trPr>
          <w:trHeight w:val="160"/>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w:t>
            </w:r>
          </w:p>
        </w:tc>
        <w:tc>
          <w:tcPr>
            <w:tcW w:w="940" w:type="dxa"/>
            <w:vAlign w:val="bottom"/>
            <w:gridSpan w:val="2"/>
            <w:vMerge w:val="continue"/>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OUTSTAND</w:t>
            </w: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8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OUTSTAND</w:t>
            </w:r>
          </w:p>
        </w:tc>
        <w:tc>
          <w:tcPr>
            <w:tcW w:w="40" w:type="dxa"/>
            <w:vAlign w:val="bottom"/>
          </w:tcPr>
          <w:p>
            <w:pPr>
              <w:spacing w:after="0"/>
              <w:rPr>
                <w:sz w:val="13"/>
                <w:szCs w:val="13"/>
                <w:color w:val="auto"/>
              </w:rPr>
            </w:pPr>
          </w:p>
        </w:tc>
        <w:tc>
          <w:tcPr>
            <w:tcW w:w="96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EXERCISA</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000" w:type="dxa"/>
            <w:vAlign w:val="bottom"/>
            <w:vMerge w:val="continue"/>
          </w:tcPr>
          <w:p>
            <w:pPr>
              <w:spacing w:after="0"/>
              <w:rPr>
                <w:sz w:val="9"/>
                <w:szCs w:val="9"/>
                <w:color w:val="auto"/>
              </w:rPr>
            </w:pPr>
          </w:p>
        </w:tc>
        <w:tc>
          <w:tcPr>
            <w:tcW w:w="94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2"/>
                <w:szCs w:val="12"/>
                <w:b w:val="1"/>
                <w:bCs w:val="1"/>
                <w:color w:val="auto"/>
              </w:rPr>
              <w:t>OF BCEs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ING AS OF</w:t>
            </w:r>
          </w:p>
        </w:tc>
        <w:tc>
          <w:tcPr>
            <w:tcW w:w="84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BCEs</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3"/>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BCEs</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 BCEs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ING</w:t>
            </w:r>
          </w:p>
        </w:tc>
        <w:tc>
          <w:tcPr>
            <w:tcW w:w="40" w:type="dxa"/>
            <w:vAlign w:val="bottom"/>
          </w:tcPr>
          <w:p>
            <w:pPr>
              <w:spacing w:after="0"/>
              <w:rPr>
                <w:sz w:val="9"/>
                <w:szCs w:val="9"/>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BLE</w:t>
            </w:r>
          </w:p>
        </w:tc>
        <w:tc>
          <w:tcPr>
            <w:tcW w:w="108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ALL</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9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w:t>
            </w: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MET</w:t>
            </w:r>
          </w:p>
        </w:tc>
        <w:tc>
          <w:tcPr>
            <w:tcW w:w="0" w:type="dxa"/>
            <w:vAlign w:val="bottom"/>
          </w:tcPr>
          <w:p>
            <w:pPr>
              <w:spacing w:after="0"/>
              <w:rPr>
                <w:sz w:val="1"/>
                <w:szCs w:val="1"/>
                <w:color w:val="auto"/>
              </w:rPr>
            </w:pPr>
          </w:p>
        </w:tc>
      </w:tr>
      <w:tr>
        <w:trPr>
          <w:trHeight w:val="109"/>
        </w:trPr>
        <w:tc>
          <w:tcPr>
            <w:tcW w:w="10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1, 2026</w:t>
            </w: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479"/>
        </w:trPr>
        <w:tc>
          <w:tcPr>
            <w:tcW w:w="100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6"/>
                <w:szCs w:val="16"/>
                <w:b w:val="1"/>
                <w:bCs w:val="1"/>
                <w:color w:val="auto"/>
              </w:rPr>
              <w:t>Total BCEs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496,965</w:t>
            </w:r>
          </w:p>
        </w:tc>
        <w:tc>
          <w:tcPr>
            <w:tcW w:w="4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207,679</w:t>
            </w:r>
          </w:p>
        </w:tc>
        <w:tc>
          <w:tcPr>
            <w:tcW w:w="84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(2,540)</w:t>
            </w:r>
          </w:p>
        </w:tc>
        <w:tc>
          <w:tcPr>
            <w:tcW w:w="4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205,139</w:t>
            </w:r>
          </w:p>
        </w:tc>
        <w:tc>
          <w:tcPr>
            <w:tcW w:w="96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6"/>
                <w:szCs w:val="16"/>
                <w:b w:val="1"/>
                <w:bCs w:val="1"/>
                <w:color w:val="auto"/>
                <w:w w:val="99"/>
              </w:rPr>
              <w:t>120,922</w:t>
            </w:r>
          </w:p>
        </w:tc>
        <w:tc>
          <w:tcPr>
            <w:tcW w:w="4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205,139</w:t>
            </w:r>
          </w:p>
        </w:tc>
        <w:tc>
          <w:tcPr>
            <w:tcW w:w="0" w:type="dxa"/>
            <w:vAlign w:val="bottom"/>
          </w:tcPr>
          <w:p>
            <w:pPr>
              <w:spacing w:after="0"/>
              <w:rPr>
                <w:sz w:val="1"/>
                <w:szCs w:val="1"/>
                <w:color w:val="auto"/>
              </w:rPr>
            </w:pPr>
          </w:p>
        </w:tc>
      </w:tr>
      <w:tr>
        <w:trPr>
          <w:trHeight w:val="260"/>
        </w:trPr>
        <w:tc>
          <w:tcPr>
            <w:tcW w:w="10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231F20"/>
        </w:rPr>
        <w:t>BSAs</w:t>
      </w:r>
    </w:p>
    <w:p>
      <w:pPr>
        <w:spacing w:after="0" w:line="2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The following tables summarize the data relating to BSAs: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TO</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BSAs</w:t>
            </w:r>
          </w:p>
        </w:tc>
        <w:tc>
          <w:tcPr>
            <w:tcW w:w="60" w:type="dxa"/>
            <w:vAlign w:val="bottom"/>
          </w:tcPr>
          <w:p>
            <w:pPr>
              <w:spacing w:after="0"/>
              <w:rPr>
                <w:sz w:val="7"/>
                <w:szCs w:val="7"/>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BSAs</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BCE</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ISSUED</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LAPSED</w:t>
            </w:r>
          </w:p>
        </w:tc>
        <w:tc>
          <w:tcPr>
            <w:tcW w:w="9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 ISSUED IF</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w:t>
            </w:r>
          </w:p>
        </w:tc>
        <w:tc>
          <w:tcPr>
            <w:tcW w:w="60" w:type="dxa"/>
            <w:vAlign w:val="bottom"/>
          </w:tcPr>
          <w:p>
            <w:pPr>
              <w:spacing w:after="0"/>
              <w:rPr>
                <w:sz w:val="8"/>
                <w:szCs w:val="8"/>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EXERCISA</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BSAs</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BSAs</w:t>
            </w:r>
          </w:p>
        </w:tc>
        <w:tc>
          <w:tcPr>
            <w:tcW w:w="9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 BSAs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ING</w:t>
            </w:r>
          </w:p>
        </w:tc>
        <w:tc>
          <w:tcPr>
            <w:tcW w:w="60" w:type="dxa"/>
            <w:vAlign w:val="bottom"/>
          </w:tcPr>
          <w:p>
            <w:pPr>
              <w:spacing w:after="0"/>
              <w:rPr>
                <w:sz w:val="8"/>
                <w:szCs w:val="8"/>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BLE</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BSAs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ING AS OF</w:t>
            </w: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ARE MET</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1, 2026</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4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gridSpan w:val="4"/>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91"/>
        </w:trPr>
        <w:tc>
          <w:tcPr>
            <w:tcW w:w="6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6"/>
        </w:trPr>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BSAs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510,191</w:t>
            </w: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253,727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23,477</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277,204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76,830</w:t>
            </w:r>
          </w:p>
        </w:tc>
        <w:tc>
          <w:tcPr>
            <w:tcW w:w="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277,204</w:t>
            </w:r>
          </w:p>
        </w:tc>
        <w:tc>
          <w:tcPr>
            <w:tcW w:w="0" w:type="dxa"/>
            <w:vAlign w:val="bottom"/>
          </w:tcPr>
          <w:p>
            <w:pPr>
              <w:spacing w:after="0"/>
              <w:rPr>
                <w:sz w:val="1"/>
                <w:szCs w:val="1"/>
                <w:color w:val="auto"/>
              </w:rPr>
            </w:pPr>
          </w:p>
        </w:tc>
      </w:tr>
      <w:tr>
        <w:trPr>
          <w:trHeight w:val="278"/>
        </w:trPr>
        <w:tc>
          <w:tcPr>
            <w:tcW w:w="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BSAs granted in February 2026</w:t>
      </w:r>
    </w:p>
    <w:p>
      <w:pPr>
        <w:spacing w:after="0" w:line="20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February 2026, the Group granted its independent Board members, as well as a Board observer and advisor, the right to subscribe up to 23,477 BSAs in the aggregate, the vesting of which is subject to a service condition of four years, by tranches of 25% each, vested on each February 1,thereafter. The BSAs were subscribed in February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BSAs was determined at grant date using the Black Scholes model, with the following assumptions:</w:t>
      </w:r>
    </w:p>
    <w:p>
      <w:pPr>
        <w:sectPr>
          <w:pgSz w:w="11900" w:h="16838" w:orient="portrait"/>
          <w:cols w:equalWidth="0" w:num="1">
            <w:col w:w="9540"/>
          </w:cols>
          <w:pgMar w:left="1080" w:top="144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9540"/>
          </w:cols>
          <w:pgMar w:left="1080" w:top="1440" w:right="1279" w:bottom="1440" w:gutter="0" w:footer="0" w:header="0"/>
          <w:type w:val="continuous"/>
        </w:sectPr>
      </w:pPr>
    </w:p>
    <w:bookmarkStart w:id="38" w:name="page39"/>
    <w:bookmarkEnd w:id="38"/>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 THE</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SUBSCRIPTI</w:t>
            </w:r>
          </w:p>
        </w:tc>
        <w:tc>
          <w:tcPr>
            <w:tcW w:w="1100" w:type="dxa"/>
            <w:vAlign w:val="bottom"/>
            <w:gridSpan w:val="2"/>
            <w:vMerge w:val="continue"/>
          </w:tcPr>
          <w:p>
            <w:pPr>
              <w:spacing w:after="0"/>
              <w:rPr>
                <w:sz w:val="8"/>
                <w:szCs w:val="8"/>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RISK FREE</w:t>
            </w: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1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02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0" w:type="dxa"/>
            <w:vAlign w:val="bottom"/>
          </w:tcPr>
          <w:p>
            <w:pPr>
              <w:spacing w:after="0"/>
              <w:rPr>
                <w:sz w:val="1"/>
                <w:szCs w:val="1"/>
                <w:color w:val="auto"/>
              </w:rPr>
            </w:pPr>
          </w:p>
        </w:tc>
      </w:tr>
      <w:tr>
        <w:trPr>
          <w:trHeight w:val="81"/>
        </w:trPr>
        <w:tc>
          <w:tcPr>
            <w:tcW w:w="980" w:type="dxa"/>
            <w:vAlign w:val="bottom"/>
            <w:gridSpan w:val="2"/>
            <w:vMerge w:val="continue"/>
          </w:tcPr>
          <w:p>
            <w:pPr>
              <w:spacing w:after="0"/>
              <w:rPr>
                <w:sz w:val="7"/>
                <w:szCs w:val="7"/>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THE BSA</w:t>
            </w: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BSAs</w:t>
            </w: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ON PRICE</w:t>
            </w:r>
          </w:p>
        </w:tc>
        <w:tc>
          <w:tcPr>
            <w:tcW w:w="1100" w:type="dxa"/>
            <w:vAlign w:val="bottom"/>
            <w:gridSpan w:val="2"/>
            <w:vMerge w:val="continue"/>
          </w:tcPr>
          <w:p>
            <w:pPr>
              <w:spacing w:after="0"/>
              <w:rPr>
                <w:sz w:val="7"/>
                <w:szCs w:val="7"/>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RATE</w:t>
            </w: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SHARE</w:t>
            </w:r>
          </w:p>
        </w:tc>
        <w:tc>
          <w:tcPr>
            <w:tcW w:w="102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CCEEFF"/>
            </w:tcBorders>
            <w:vMerge w:val="continue"/>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3"/>
        </w:trPr>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BSA-2026-1</w:t>
            </w:r>
          </w:p>
        </w:tc>
        <w:tc>
          <w:tcPr>
            <w:tcW w:w="1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€99.63</w:t>
            </w: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[€77.7-€83.2]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23,477</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€20.23</w:t>
            </w:r>
          </w:p>
        </w:tc>
        <w:tc>
          <w:tcPr>
            <w:tcW w:w="11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€99.63</w:t>
            </w:r>
          </w:p>
        </w:tc>
        <w:tc>
          <w:tcPr>
            <w:tcW w:w="9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3.77%</w:t>
            </w:r>
          </w:p>
        </w:tc>
        <w:tc>
          <w:tcPr>
            <w:tcW w:w="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[5.5-7 years]</w:t>
            </w:r>
          </w:p>
        </w:tc>
        <w:tc>
          <w:tcPr>
            <w:tcW w:w="10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99.33%</w:t>
            </w:r>
          </w:p>
        </w:tc>
        <w:tc>
          <w:tcPr>
            <w:tcW w:w="0" w:type="dxa"/>
            <w:vAlign w:val="bottom"/>
          </w:tcPr>
          <w:p>
            <w:pPr>
              <w:spacing w:after="0"/>
              <w:rPr>
                <w:sz w:val="1"/>
                <w:szCs w:val="1"/>
                <w:color w:val="auto"/>
              </w:rPr>
            </w:pPr>
          </w:p>
        </w:tc>
      </w:tr>
      <w:tr>
        <w:trPr>
          <w:trHeight w:val="280"/>
        </w:trPr>
        <w:tc>
          <w:tcPr>
            <w:tcW w:w="92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231F20"/>
        </w:rPr>
        <w:t>AGAs</w:t>
      </w:r>
    </w:p>
    <w:p>
      <w:pPr>
        <w:spacing w:after="0" w:line="92" w:lineRule="exact"/>
        <w:rPr>
          <w:sz w:val="20"/>
          <w:szCs w:val="20"/>
          <w:color w:val="auto"/>
        </w:rPr>
      </w:pPr>
    </w:p>
    <w:p>
      <w:pPr>
        <w:ind w:left="140" w:right="820"/>
        <w:spacing w:after="0" w:line="282" w:lineRule="auto"/>
        <w:rPr>
          <w:sz w:val="20"/>
          <w:szCs w:val="20"/>
          <w:color w:val="auto"/>
        </w:rPr>
      </w:pPr>
      <w:r>
        <w:rPr>
          <w:rFonts w:ascii="Times New Roman" w:cs="Times New Roman" w:eastAsia="Times New Roman" w:hAnsi="Times New Roman"/>
          <w:sz w:val="18"/>
          <w:szCs w:val="18"/>
          <w:color w:val="231F20"/>
        </w:rPr>
        <w:t>The following tables summarize the data relating to AGAs as well as the assumptions used for the measurement thereof in accordance with IFRS 2—</w:t>
      </w:r>
      <w:r>
        <w:rPr>
          <w:rFonts w:ascii="Times New Roman" w:cs="Times New Roman" w:eastAsia="Times New Roman" w:hAnsi="Times New Roman"/>
          <w:sz w:val="18"/>
          <w:szCs w:val="18"/>
          <w:i w:val="1"/>
          <w:iCs w:val="1"/>
          <w:color w:val="231F20"/>
        </w:rPr>
        <w:t>Share-based Payment</w:t>
      </w:r>
      <w:r>
        <w:rPr>
          <w:rFonts w:ascii="Times New Roman" w:cs="Times New Roman" w:eastAsia="Times New Roman" w:hAnsi="Times New Roman"/>
          <w:sz w:val="18"/>
          <w:szCs w:val="18"/>
          <w:color w:val="231F20"/>
        </w:rPr>
        <w: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6"/>
                <w:szCs w:val="16"/>
                <w:color w:val="auto"/>
              </w:rPr>
            </w:pP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70"/>
        </w:trPr>
        <w:tc>
          <w:tcPr>
            <w:tcW w:w="1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BCE</w:t>
            </w: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AGAs</w:t>
            </w: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ISSUED AGAs</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AGAs</w:t>
            </w:r>
          </w:p>
        </w:tc>
        <w:tc>
          <w:tcPr>
            <w:tcW w:w="60" w:type="dxa"/>
            <w:vAlign w:val="bottom"/>
          </w:tcPr>
          <w:p>
            <w:pPr>
              <w:spacing w:after="0"/>
              <w:rPr>
                <w:sz w:val="8"/>
                <w:szCs w:val="8"/>
                <w:color w:val="auto"/>
              </w:rPr>
            </w:pP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VESTED AGAs</w:t>
            </w:r>
          </w:p>
        </w:tc>
        <w:tc>
          <w:tcPr>
            <w:tcW w:w="1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10"/>
        </w:trPr>
        <w:tc>
          <w:tcPr>
            <w:tcW w:w="11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8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OF AGAs</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20" w:type="dxa"/>
            <w:vAlign w:val="bottom"/>
            <w:gridSpan w:val="4"/>
          </w:tcPr>
          <w:p>
            <w:pPr>
              <w:jc w:val="center"/>
              <w:ind w:right="1048"/>
              <w:spacing w:after="0" w:line="110" w:lineRule="exact"/>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1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820" w:type="dxa"/>
            <w:vAlign w:val="bottom"/>
            <w:gridSpan w:val="7"/>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20" w:type="dxa"/>
            <w:vAlign w:val="bottom"/>
            <w:gridSpan w:val="7"/>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469"/>
        </w:trPr>
        <w:tc>
          <w:tcPr>
            <w:tcW w:w="118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AGAs</w:t>
            </w:r>
          </w:p>
        </w:tc>
        <w:tc>
          <w:tcPr>
            <w:tcW w:w="1080" w:type="dxa"/>
            <w:vAlign w:val="bottom"/>
            <w:tcBorders>
              <w:top w:val="single" w:sz="8" w:color="auto"/>
            </w:tcBorders>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11,171,743</w:t>
            </w:r>
          </w:p>
        </w:tc>
        <w:tc>
          <w:tcPr>
            <w:tcW w:w="24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8,395,678</w:t>
            </w:r>
          </w:p>
        </w:tc>
        <w:tc>
          <w:tcPr>
            <w:tcW w:w="1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460,845</w:t>
            </w:r>
          </w:p>
        </w:tc>
        <w:tc>
          <w:tcPr>
            <w:tcW w:w="1320" w:type="dxa"/>
            <w:vAlign w:val="bottom"/>
            <w:tcBorders>
              <w:top w:val="single" w:sz="8" w:color="auto"/>
            </w:tcBorders>
            <w:gridSpan w:val="3"/>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(21,000)</w:t>
            </w:r>
          </w:p>
        </w:tc>
        <w:tc>
          <w:tcPr>
            <w:tcW w:w="1220" w:type="dxa"/>
            <w:vAlign w:val="bottom"/>
            <w:tcBorders>
              <w:top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(752,236)</w:t>
            </w:r>
          </w:p>
        </w:tc>
        <w:tc>
          <w:tcPr>
            <w:tcW w:w="60" w:type="dxa"/>
            <w:vAlign w:val="bottom"/>
            <w:tcBorders>
              <w:top w:val="single" w:sz="8" w:color="CCEEFF"/>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8,083,287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gridSpan w:val="3"/>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gridSpan w:val="6"/>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02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80" w:type="dxa"/>
            <w:vAlign w:val="bottom"/>
          </w:tcPr>
          <w:p>
            <w:pPr>
              <w:spacing w:after="0"/>
              <w:rPr>
                <w:sz w:val="15"/>
                <w:szCs w:val="15"/>
                <w:color w:val="auto"/>
              </w:rPr>
            </w:pPr>
          </w:p>
        </w:tc>
        <w:tc>
          <w:tcPr>
            <w:tcW w:w="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THE</w:t>
            </w:r>
          </w:p>
        </w:tc>
        <w:tc>
          <w:tcPr>
            <w:tcW w:w="100" w:type="dxa"/>
            <w:vAlign w:val="bottom"/>
          </w:tcPr>
          <w:p>
            <w:pPr>
              <w:spacing w:after="0"/>
              <w:rPr>
                <w:sz w:val="15"/>
                <w:szCs w:val="15"/>
                <w:color w:val="auto"/>
              </w:rPr>
            </w:pPr>
          </w:p>
        </w:tc>
        <w:tc>
          <w:tcPr>
            <w:tcW w:w="212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RISK FREE RATE</w:t>
            </w:r>
          </w:p>
        </w:tc>
        <w:tc>
          <w:tcPr>
            <w:tcW w:w="0" w:type="dxa"/>
            <w:vAlign w:val="bottom"/>
          </w:tcPr>
          <w:p>
            <w:pPr>
              <w:spacing w:after="0"/>
              <w:rPr>
                <w:sz w:val="1"/>
                <w:szCs w:val="1"/>
                <w:color w:val="auto"/>
              </w:rPr>
            </w:pPr>
          </w:p>
        </w:tc>
      </w:tr>
      <w:tr>
        <w:trPr>
          <w:trHeight w:val="109"/>
        </w:trPr>
        <w:tc>
          <w:tcPr>
            <w:tcW w:w="1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80" w:type="dxa"/>
            <w:vAlign w:val="bottom"/>
            <w:gridSpan w:val="6"/>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360" w:type="dxa"/>
            <w:vAlign w:val="bottom"/>
            <w:gridSpan w:val="2"/>
            <w:vMerge w:val="restart"/>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THE AGA</w:t>
            </w:r>
          </w:p>
        </w:tc>
        <w:tc>
          <w:tcPr>
            <w:tcW w:w="1320" w:type="dxa"/>
            <w:vAlign w:val="bottom"/>
            <w:gridSpan w:val="3"/>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80" w:type="dxa"/>
            <w:vAlign w:val="bottom"/>
            <w:gridSpan w:val="6"/>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gridSpan w:val="5"/>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w w:val="99"/>
              </w:rPr>
              <w:t>SHARE</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gridSpan w:val="4"/>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tcPr>
          <w:p>
            <w:pPr>
              <w:spacing w:after="0"/>
              <w:rPr>
                <w:sz w:val="5"/>
                <w:szCs w:val="5"/>
                <w:color w:val="auto"/>
              </w:rPr>
            </w:pPr>
          </w:p>
        </w:tc>
        <w:tc>
          <w:tcPr>
            <w:tcW w:w="13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AGA-2026-1</w:t>
            </w: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€95.50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668"/>
              <w:spacing w:after="0"/>
              <w:rPr>
                <w:sz w:val="20"/>
                <w:szCs w:val="20"/>
                <w:color w:val="auto"/>
              </w:rPr>
            </w:pPr>
            <w:r>
              <w:rPr>
                <w:rFonts w:ascii="Times New Roman" w:cs="Times New Roman" w:eastAsia="Times New Roman" w:hAnsi="Times New Roman"/>
                <w:sz w:val="14"/>
                <w:szCs w:val="14"/>
                <w:color w:val="auto"/>
              </w:rPr>
              <w:t>€95.50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N/A</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11"/>
        </w:trPr>
        <w:tc>
          <w:tcPr>
            <w:tcW w:w="1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AGA-2026-2</w:t>
            </w:r>
          </w:p>
        </w:tc>
        <w:tc>
          <w:tcPr>
            <w:tcW w:w="1020" w:type="dxa"/>
            <w:vAlign w:val="bottom"/>
          </w:tcPr>
          <w:p>
            <w:pPr>
              <w:spacing w:after="0"/>
              <w:rPr>
                <w:sz w:val="18"/>
                <w:szCs w:val="18"/>
                <w:color w:val="auto"/>
              </w:rPr>
            </w:pPr>
          </w:p>
        </w:tc>
        <w:tc>
          <w:tcPr>
            <w:tcW w:w="1520" w:type="dxa"/>
            <w:vAlign w:val="bottom"/>
            <w:gridSpan w:val="5"/>
          </w:tcPr>
          <w:p>
            <w:pPr>
              <w:jc w:val="center"/>
              <w:ind w:left="968"/>
              <w:spacing w:after="0"/>
              <w:rPr>
                <w:sz w:val="20"/>
                <w:szCs w:val="20"/>
                <w:color w:val="auto"/>
              </w:rPr>
            </w:pPr>
            <w:r>
              <w:rPr>
                <w:rFonts w:ascii="Times New Roman" w:cs="Times New Roman" w:eastAsia="Times New Roman" w:hAnsi="Times New Roman"/>
                <w:sz w:val="14"/>
                <w:szCs w:val="14"/>
                <w:color w:val="auto"/>
              </w:rPr>
              <w:t>€106.00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688"/>
              <w:spacing w:after="0"/>
              <w:rPr>
                <w:sz w:val="20"/>
                <w:szCs w:val="20"/>
                <w:color w:val="auto"/>
              </w:rPr>
            </w:pPr>
            <w:r>
              <w:rPr>
                <w:rFonts w:ascii="Times New Roman" w:cs="Times New Roman" w:eastAsia="Times New Roman" w:hAnsi="Times New Roman"/>
                <w:sz w:val="14"/>
                <w:szCs w:val="14"/>
                <w:color w:val="auto"/>
              </w:rPr>
              <w:t>€106.00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N/A</w:t>
            </w:r>
          </w:p>
        </w:tc>
        <w:tc>
          <w:tcPr>
            <w:tcW w:w="6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21"/>
        </w:trPr>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AGA-2026-3</w:t>
            </w:r>
          </w:p>
        </w:tc>
        <w:tc>
          <w:tcPr>
            <w:tcW w:w="1020" w:type="dxa"/>
            <w:vAlign w:val="bottom"/>
            <w:shd w:val="clear" w:color="auto" w:fill="CCEEFF"/>
          </w:tcPr>
          <w:p>
            <w:pPr>
              <w:spacing w:after="0"/>
              <w:rPr>
                <w:sz w:val="19"/>
                <w:szCs w:val="19"/>
                <w:color w:val="auto"/>
              </w:rPr>
            </w:pPr>
          </w:p>
        </w:tc>
        <w:tc>
          <w:tcPr>
            <w:tcW w:w="1520" w:type="dxa"/>
            <w:vAlign w:val="bottom"/>
            <w:gridSpan w:val="5"/>
            <w:shd w:val="clear" w:color="auto" w:fill="CCEEFF"/>
          </w:tcPr>
          <w:p>
            <w:pPr>
              <w:jc w:val="center"/>
              <w:ind w:left="968"/>
              <w:spacing w:after="0"/>
              <w:rPr>
                <w:sz w:val="20"/>
                <w:szCs w:val="20"/>
                <w:color w:val="auto"/>
              </w:rPr>
            </w:pPr>
            <w:r>
              <w:rPr>
                <w:rFonts w:ascii="Times New Roman" w:cs="Times New Roman" w:eastAsia="Times New Roman" w:hAnsi="Times New Roman"/>
                <w:sz w:val="14"/>
                <w:szCs w:val="14"/>
                <w:color w:val="auto"/>
              </w:rPr>
              <w:t>€106.00</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688"/>
              <w:spacing w:after="0"/>
              <w:rPr>
                <w:sz w:val="20"/>
                <w:szCs w:val="20"/>
                <w:color w:val="auto"/>
              </w:rPr>
            </w:pPr>
            <w:r>
              <w:rPr>
                <w:rFonts w:ascii="Times New Roman" w:cs="Times New Roman" w:eastAsia="Times New Roman" w:hAnsi="Times New Roman"/>
                <w:sz w:val="14"/>
                <w:szCs w:val="14"/>
                <w:color w:val="auto"/>
              </w:rPr>
              <w:t>€106.00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N/A</w:t>
            </w:r>
          </w:p>
        </w:tc>
        <w:tc>
          <w:tcPr>
            <w:tcW w:w="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8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9740"/>
          </w:cols>
          <w:pgMar w:left="1080" w:top="1440" w:right="1079" w:bottom="1440" w:gutter="0" w:footer="0" w:header="0"/>
          <w:type w:val="continuous"/>
        </w:sectPr>
      </w:pPr>
    </w:p>
    <w:bookmarkStart w:id="39" w:name="page40"/>
    <w:bookmarkEnd w:id="39"/>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AGAs granted in February and March 2026</w:t>
      </w:r>
    </w:p>
    <w:p>
      <w:pPr>
        <w:spacing w:after="0" w:line="20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In February and March 2026 certain of the Group's officers and employees were allocated 47,500 AGAs (AGA plan 2026-1), 294,476 (AGA plan 2026-2), 1,619 (AGA plan 2026-3) in the aggregate, the vesting of which is subject to the following service condition: 50% of the AGAs vest at the end of a two-year period from the allocation date, 25% at the end of a three-year period from the allocation date and 25% at the end of a four-year period from the allocation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vesting of AGA plans in March 2026</w:t>
      </w:r>
    </w:p>
    <w:p>
      <w:pPr>
        <w:spacing w:after="0" w:line="18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light of Dr. Didier Scherrer's departure from his role as Chief Scientific Officer, the Group entered into a settlement agreement ("protocole d’accord transactionnel") with Dr. Didier Scherrer under which (i) the Group waived the continued employment condition attached to 77,050 free shares previously granted to Dr. Scherrer, (ii) the Group waived the continued employment condition for a further 40,200 free shares, subject to specific performance conditions, and (iii) the remaining 217,750 free shares previously granted to Dr. Scherrer are lapsed.</w:t>
      </w:r>
    </w:p>
    <w:p>
      <w:pPr>
        <w:spacing w:after="0" w:line="171"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As a result of transactions (i) and (ii), the Group recognized an expense equal to the fair value of these 117,250 AGAs (measured on March 5, 2026) of €11,619 thousand during the three-month period ended March 31, 2026 (the accelerated vesting following the settlement agreement was accounted for as a new grant under IFRS 2, with the original grants being cancelled and the corresponding expense reversed as of December 31, 2025).</w:t>
      </w:r>
    </w:p>
    <w:p>
      <w:pPr>
        <w:spacing w:after="0" w:line="3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231F20"/>
        </w:rPr>
        <w:t>Breakdown of the compensation expenses accounted for the three-month periods ended March 31, 2025 and 2026: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w:t>
            </w: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2"/>
        </w:trPr>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68"/>
        </w:trPr>
        <w:tc>
          <w:tcPr>
            <w:tcW w:w="2200" w:type="dxa"/>
            <w:vAlign w:val="bottom"/>
            <w:vMerge w:val="continue"/>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5"/>
                <w:szCs w:val="5"/>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23"/>
        </w:trPr>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of euros)</w:t>
            </w:r>
          </w:p>
        </w:tc>
        <w:tc>
          <w:tcPr>
            <w:tcW w:w="1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2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4"/>
                <w:szCs w:val="14"/>
                <w:color w:val="auto"/>
              </w:rPr>
              <w:t>BCEs</w:t>
            </w:r>
          </w:p>
        </w:tc>
        <w:tc>
          <w:tcPr>
            <w:tcW w:w="12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2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BSAs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21"/>
        </w:trPr>
        <w:tc>
          <w:tcPr>
            <w:tcW w:w="22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4"/>
                <w:szCs w:val="14"/>
                <w:color w:val="auto"/>
              </w:rPr>
              <w:t>AGAs</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(4,623)</w:t>
            </w:r>
          </w:p>
        </w:tc>
        <w:tc>
          <w:tcPr>
            <w:tcW w:w="60" w:type="dxa"/>
            <w:vAlign w:val="bottom"/>
            <w:shd w:val="clear" w:color="auto" w:fill="CCECFF"/>
          </w:tcPr>
          <w:p>
            <w:pPr>
              <w:spacing w:after="0"/>
              <w:rPr>
                <w:sz w:val="19"/>
                <w:szCs w:val="19"/>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(22,461)</w:t>
            </w:r>
          </w:p>
        </w:tc>
        <w:tc>
          <w:tcPr>
            <w:tcW w:w="0" w:type="dxa"/>
            <w:vAlign w:val="bottom"/>
          </w:tcPr>
          <w:p>
            <w:pPr>
              <w:spacing w:after="0"/>
              <w:rPr>
                <w:sz w:val="1"/>
                <w:szCs w:val="1"/>
                <w:color w:val="auto"/>
              </w:rPr>
            </w:pPr>
          </w:p>
        </w:tc>
      </w:tr>
      <w:tr>
        <w:trPr>
          <w:trHeight w:val="211"/>
        </w:trPr>
        <w:tc>
          <w:tcPr>
            <w:tcW w:w="220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4"/>
                <w:szCs w:val="14"/>
                <w:color w:val="auto"/>
              </w:rPr>
              <w:t>Social taxes related to AGAs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60" w:type="dxa"/>
            <w:vAlign w:val="bottom"/>
            <w:tcBorders>
              <w:bottom w:val="single" w:sz="8" w:color="CCEC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199"/>
        </w:trPr>
        <w:tc>
          <w:tcPr>
            <w:tcW w:w="220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(5,372)</w:t>
            </w:r>
          </w:p>
        </w:tc>
        <w:tc>
          <w:tcPr>
            <w:tcW w:w="60" w:type="dxa"/>
            <w:vAlign w:val="bottom"/>
            <w:tcBorders>
              <w:bottom w:val="single" w:sz="8" w:color="CCECFF"/>
            </w:tcBorders>
            <w:shd w:val="clear" w:color="auto" w:fill="CCECFF"/>
          </w:tcPr>
          <w:p>
            <w:pPr>
              <w:spacing w:after="0"/>
              <w:rPr>
                <w:sz w:val="16"/>
                <w:szCs w:val="16"/>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(21,401)</w:t>
            </w:r>
          </w:p>
        </w:tc>
        <w:tc>
          <w:tcPr>
            <w:tcW w:w="0" w:type="dxa"/>
            <w:vAlign w:val="bottom"/>
          </w:tcPr>
          <w:p>
            <w:pPr>
              <w:spacing w:after="0"/>
              <w:rPr>
                <w:sz w:val="1"/>
                <w:szCs w:val="1"/>
                <w:color w:val="auto"/>
              </w:rPr>
            </w:pPr>
          </w:p>
        </w:tc>
      </w:tr>
      <w:tr>
        <w:trPr>
          <w:trHeight w:val="20"/>
        </w:trPr>
        <w:tc>
          <w:tcPr>
            <w:tcW w:w="2200" w:type="dxa"/>
            <w:vAlign w:val="bottom"/>
            <w:tcBorders>
              <w:top w:val="single" w:sz="8" w:color="CCECFF"/>
            </w:tcBorders>
          </w:tcPr>
          <w:p>
            <w:pPr>
              <w:spacing w:after="0" w:line="20" w:lineRule="exact"/>
              <w:rPr>
                <w:sz w:val="1"/>
                <w:szCs w:val="1"/>
                <w:color w:val="auto"/>
              </w:rPr>
            </w:pPr>
          </w:p>
        </w:tc>
        <w:tc>
          <w:tcPr>
            <w:tcW w:w="1180" w:type="dxa"/>
            <w:vAlign w:val="bottom"/>
            <w:tcBorders>
              <w:top w:val="single" w:sz="8" w:color="CCECFF"/>
              <w:bottom w:val="single" w:sz="8" w:color="auto"/>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116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increase in AGA expenses for the three months ended March 31, 2026 is attributable to the €11,619 thousand expense recognized in relation to the accelerated vesting of certain of the Group's former Chief Scientific Officer's AGA plans (see above) as well as the impact of plans granted in 2025.</w:t>
      </w:r>
    </w:p>
    <w:p>
      <w:pPr>
        <w:spacing w:after="0" w:line="16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The debit amount of social taxes related to AGAs (and related provisions) for the three months ended March 31, 2026 is attributable to unused reversals of provisions amounting to €3,394 thousand (see Note 17.3) due to (i) the decrease in the price of the underlying shares over the period and, to a lesser extent, (ii) forfeitures following employee departures and changes in estimates regarding the achievement of performance conditions. The amount of unused reversals is partly offset by social charges recognized in relation to the 77,050 AGAs granted to the Group's former Chief Scientific Officer, for which vesting was effective as of March 5, 2026 and amounting to €2,256 thousand.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provisions for social taxes related to AGAs are presented in Note 17.3.</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ectPr>
          <w:pgSz w:w="11900" w:h="16838" w:orient="portrait"/>
          <w:cols w:equalWidth="0" w:num="1">
            <w:col w:w="9720"/>
          </w:cols>
          <w:pgMar w:left="1080" w:top="1440" w:right="1099" w:bottom="1440" w:gutter="0" w:footer="0" w:header="0"/>
          <w:type w:val="continuous"/>
        </w:sectPr>
      </w:pPr>
    </w:p>
    <w:bookmarkStart w:id="40" w:name="page41"/>
    <w:bookmarkEnd w:id="40"/>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15. Financial liabilities</w:t>
      </w:r>
    </w:p>
    <w:p>
      <w:pPr>
        <w:spacing w:after="0" w:line="1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231F20"/>
        </w:rPr>
        <w:t>Financial liabilities break down as follows:</w:t>
      </w:r>
    </w:p>
    <w:p>
      <w:pPr>
        <w:spacing w:after="0" w:line="23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vMerge w:val="restart"/>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81"/>
        </w:trPr>
        <w:tc>
          <w:tcPr>
            <w:tcW w:w="35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40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500" w:type="dxa"/>
            <w:vAlign w:val="bottom"/>
            <w:vMerge w:val="continue"/>
            <w:shd w:val="clear" w:color="auto" w:fill="CCEEFF"/>
          </w:tcPr>
          <w:p>
            <w:pPr>
              <w:spacing w:after="0"/>
              <w:rPr>
                <w:sz w:val="8"/>
                <w:szCs w:val="8"/>
                <w:color w:val="auto"/>
              </w:rPr>
            </w:pPr>
          </w:p>
        </w:tc>
        <w:tc>
          <w:tcPr>
            <w:tcW w:w="1400" w:type="dxa"/>
            <w:vAlign w:val="bottom"/>
            <w:gridSpan w:val="2"/>
            <w:vMerge w:val="continue"/>
            <w:shd w:val="clear" w:color="auto" w:fill="CCEEFF"/>
          </w:tcPr>
          <w:p>
            <w:pPr>
              <w:spacing w:after="0"/>
              <w:rPr>
                <w:sz w:val="8"/>
                <w:szCs w:val="8"/>
                <w:color w:val="auto"/>
              </w:rPr>
            </w:pPr>
          </w:p>
        </w:tc>
        <w:tc>
          <w:tcPr>
            <w:tcW w:w="13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96"/>
        </w:trPr>
        <w:tc>
          <w:tcPr>
            <w:tcW w:w="3500" w:type="dxa"/>
            <w:vAlign w:val="bottom"/>
            <w:shd w:val="clear" w:color="auto" w:fill="CCEEFF"/>
          </w:tcPr>
          <w:p>
            <w:pPr>
              <w:spacing w:after="0"/>
              <w:rPr>
                <w:sz w:val="8"/>
                <w:szCs w:val="8"/>
                <w:color w:val="auto"/>
              </w:rPr>
            </w:pP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500" w:type="dxa"/>
            <w:vAlign w:val="bottom"/>
            <w:shd w:val="clear" w:color="auto" w:fill="CCEEFF"/>
          </w:tcPr>
          <w:p>
            <w:pPr>
              <w:spacing w:after="0"/>
              <w:rPr>
                <w:sz w:val="7"/>
                <w:szCs w:val="7"/>
                <w:color w:val="auto"/>
              </w:rPr>
            </w:pPr>
          </w:p>
        </w:tc>
        <w:tc>
          <w:tcPr>
            <w:tcW w:w="1360" w:type="dxa"/>
            <w:vAlign w:val="bottom"/>
            <w:tcBorders>
              <w:bottom w:val="single" w:sz="8" w:color="auto"/>
            </w:tcBorders>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Lease liabilities</w:t>
            </w: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554</w:t>
            </w:r>
          </w:p>
        </w:tc>
        <w:tc>
          <w:tcPr>
            <w:tcW w:w="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554</w:t>
            </w:r>
          </w:p>
        </w:tc>
        <w:tc>
          <w:tcPr>
            <w:tcW w:w="4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346</w:t>
            </w:r>
          </w:p>
        </w:tc>
        <w:tc>
          <w:tcPr>
            <w:tcW w:w="0" w:type="dxa"/>
            <w:vAlign w:val="bottom"/>
          </w:tcPr>
          <w:p>
            <w:pPr>
              <w:spacing w:after="0"/>
              <w:rPr>
                <w:sz w:val="1"/>
                <w:szCs w:val="1"/>
                <w:color w:val="auto"/>
              </w:rPr>
            </w:pPr>
          </w:p>
        </w:tc>
      </w:tr>
      <w:tr>
        <w:trPr>
          <w:trHeight w:val="191"/>
        </w:trPr>
        <w:tc>
          <w:tcPr>
            <w:tcW w:w="3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Royalty certificates</w:t>
            </w: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30,237</w:t>
            </w:r>
          </w:p>
        </w:tc>
        <w:tc>
          <w:tcPr>
            <w:tcW w:w="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32,764</w:t>
            </w: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Other financial liabilities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30,237</w:t>
            </w:r>
          </w:p>
        </w:tc>
        <w:tc>
          <w:tcPr>
            <w:tcW w:w="4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32,764</w:t>
            </w:r>
          </w:p>
        </w:tc>
        <w:tc>
          <w:tcPr>
            <w:tcW w:w="0" w:type="dxa"/>
            <w:vAlign w:val="bottom"/>
          </w:tcPr>
          <w:p>
            <w:pPr>
              <w:spacing w:after="0"/>
              <w:rPr>
                <w:sz w:val="1"/>
                <w:szCs w:val="1"/>
                <w:color w:val="auto"/>
              </w:rPr>
            </w:pPr>
          </w:p>
        </w:tc>
      </w:tr>
      <w:tr>
        <w:trPr>
          <w:trHeight w:val="169"/>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non-current financial liabilities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30,790</w:t>
            </w:r>
          </w:p>
        </w:tc>
        <w:tc>
          <w:tcPr>
            <w:tcW w:w="4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33,110</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Lease liabilities</w:t>
            </w: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1,302</w:t>
            </w:r>
          </w:p>
        </w:tc>
        <w:tc>
          <w:tcPr>
            <w:tcW w:w="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1,302</w:t>
            </w:r>
          </w:p>
        </w:tc>
        <w:tc>
          <w:tcPr>
            <w:tcW w:w="4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1,101</w:t>
            </w:r>
          </w:p>
        </w:tc>
        <w:tc>
          <w:tcPr>
            <w:tcW w:w="0" w:type="dxa"/>
            <w:vAlign w:val="bottom"/>
          </w:tcPr>
          <w:p>
            <w:pPr>
              <w:spacing w:after="0"/>
              <w:rPr>
                <w:sz w:val="1"/>
                <w:szCs w:val="1"/>
                <w:color w:val="auto"/>
              </w:rPr>
            </w:pPr>
          </w:p>
        </w:tc>
      </w:tr>
      <w:tr>
        <w:trPr>
          <w:trHeight w:val="191"/>
        </w:trPr>
        <w:tc>
          <w:tcPr>
            <w:tcW w:w="3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current financial liabilities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1,302</w:t>
            </w:r>
          </w:p>
        </w:tc>
        <w:tc>
          <w:tcPr>
            <w:tcW w:w="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1,101</w:t>
            </w:r>
          </w:p>
        </w:tc>
        <w:tc>
          <w:tcPr>
            <w:tcW w:w="0" w:type="dxa"/>
            <w:vAlign w:val="bottom"/>
          </w:tcPr>
          <w:p>
            <w:pPr>
              <w:spacing w:after="0"/>
              <w:rPr>
                <w:sz w:val="1"/>
                <w:szCs w:val="1"/>
                <w:color w:val="auto"/>
              </w:rPr>
            </w:pPr>
          </w:p>
        </w:tc>
      </w:tr>
      <w:tr>
        <w:trPr>
          <w:trHeight w:val="262"/>
        </w:trPr>
        <w:tc>
          <w:tcPr>
            <w:tcW w:w="3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32,093</w:t>
            </w:r>
          </w:p>
        </w:tc>
        <w:tc>
          <w:tcPr>
            <w:tcW w:w="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34,210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15.1. Structured debt financing with Kreos &amp; Claret subscribed in August 2023 – “Kreos / Claret Financing”</w:t>
      </w:r>
    </w:p>
    <w:p>
      <w:pPr>
        <w:spacing w:after="0" w:line="18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Kreos / Claret Financing consists of three tranches of €25,000 thousand each in aggregate principal amount (the convertible OCABSA and the second and third tranches of non-convertible bonds, respectively the "tranches A, B and C") as well as a Minimal Return Indemnification ("MRI") to the benefit of the bondholders.</w:t>
      </w:r>
    </w:p>
    <w:p>
      <w:pPr>
        <w:spacing w:after="0" w:line="16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addition to the Kreos / Claret OCABSA, the Group has issued share warrants (the “tranche A-B BSA” and “tranche C BSA”), giving Kreos and Claret the right to subscribe to up to 214,198 and 405,832 ordinary shares respectively.</w:t>
      </w:r>
    </w:p>
    <w:p>
      <w:pPr>
        <w:spacing w:after="0" w:line="14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OCABSA are compound instruments, split between (i) a debt component (then measured at amortized cost) and (ii) an equity component corresponding to the conversion option and the attached OCABSA warrants.</w:t>
      </w:r>
    </w:p>
    <w:p>
      <w:pPr>
        <w:spacing w:after="0" w:line="149"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 OCABSA warrants are considered as an embedded component of the bonds rather than a separate stand-alone financial instrument.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Kreos / Claret second and third tranches are hybrid instruments, split between (i) debt host contracts accounted for at amortized cost and (ii) bifurcated embedded derivatives accounted for at fair value through profit and loss, corresponding to the Minimal Return Indemnifications and the prepayment options (the fair value of the prepayment options being deemed insignificant at issuance and at the subsequent reporting dates).</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the A-B and C warrants (the "Kreos / Claret BSA") are contractually transferable separately from the bonds and are redeemable in a variable number of ordinary shares of the Group, they are classified as standalone derivative financial liabilities.</w:t>
      </w:r>
    </w:p>
    <w:p>
      <w:pPr>
        <w:sectPr>
          <w:pgSz w:w="11900" w:h="16838" w:orient="portrait"/>
          <w:cols w:equalWidth="0" w:num="1">
            <w:col w:w="9640"/>
          </w:cols>
          <w:pgMar w:left="1080" w:top="1440"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9640"/>
          </w:cols>
          <w:pgMar w:left="1080" w:top="1440" w:right="1179" w:bottom="1440" w:gutter="0" w:footer="0" w:header="0"/>
          <w:type w:val="continuous"/>
        </w:sectPr>
      </w:pPr>
    </w:p>
    <w:bookmarkStart w:id="41" w:name="page42"/>
    <w:bookmarkEnd w:id="41"/>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700"/>
        <w:spacing w:after="0" w:line="266" w:lineRule="auto"/>
        <w:rPr>
          <w:sz w:val="20"/>
          <w:szCs w:val="20"/>
          <w:color w:val="auto"/>
        </w:rPr>
      </w:pPr>
      <w:r>
        <w:rPr>
          <w:rFonts w:ascii="Times New Roman" w:cs="Times New Roman" w:eastAsia="Times New Roman" w:hAnsi="Times New Roman"/>
          <w:sz w:val="18"/>
          <w:szCs w:val="18"/>
          <w:color w:val="auto"/>
        </w:rPr>
        <w:t>The detailed terms and conditions and the accounting treatment of these instruments are presented in Note 15.1 to the annual consolidated financial statements of the Group as of December 31, 2025 accompanying the Group’s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of the liabilities</w:t>
      </w:r>
    </w:p>
    <w:p>
      <w:pPr>
        <w:spacing w:after="0" w:line="20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August 6, 2025, Kreos Capital VII(UK) Limited converted the Tranche A portion of the Kreos / Claret Financing (the Kreos / Claret OCABSA), resulting in the issuance of 785,389 ordinary shares and an increase in equity by €16,058 thousand.</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July 30, 2025, Kreos Capital VII Aggregator SCSp opted for the cashless exercise of its share warrants (the tranche A-B BSA and tranche C BSA), implemented through the repurchase by the Group of 94,117 tranche A-B and C BSA and the issuance of 319,251 ordinary shares of the Group and an increase in equity by €19,570 thousand.</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August 28, 2025, Claret European Growth Capital Fund III SCSp, exercised its share warrants (the tranche A-B BSA and tranche C BSA) for 206,662 ordinary shares of the Group and an increase in equity by €14,198 thousand.</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August 2025, as a result of (i) the repayments of principal and interests made until that date under the Kreos / Claret Financing, (ii) the exercise of the Tranche A-B and C BSA and (iii) the conversion of the Kreos OCABSA, the cash generated thereby met the Minimum Cash Return due to the Kreos / Claret bondholders. Consequently, as no further payment could be due by the Group in relation to the Kreos / Claret Minimal Return Indemnification, the MRI derivatives were derecognized, resulting in a financial income of €3,620 thousand.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25, 2025, Claret European Growth Capital Fund III SCSp converted its portion of the Tranche A portion of the Kreos / Claret Financing (the Claret OCABSA), resulting in the issuance of 392,695 ordinary shares of the Group and an increase in equity by €8,296 thousand.</w:t>
      </w:r>
    </w:p>
    <w:p>
      <w:pPr>
        <w:spacing w:after="0" w:line="176"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On November 28, 2025, the Group notified the bondholders of its intention to prepay in full the outstanding balances of Tranches B and C of the Kreos / Claret Financing. The transaction was completed on December 23, 2025. The total amount paid by the Group at that date amounted to €33,823 thousand, consisting of:</w:t>
      </w:r>
    </w:p>
    <w:p>
      <w:pPr>
        <w:spacing w:after="0" w:line="1" w:lineRule="exact"/>
        <w:rPr>
          <w:sz w:val="20"/>
          <w:szCs w:val="20"/>
          <w:color w:val="auto"/>
        </w:rPr>
      </w:pPr>
    </w:p>
    <w:p>
      <w:pPr>
        <w:ind w:left="660" w:hanging="332"/>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of €29,903 thousand, from which the deposit amount of €1,081 thousand initially paid by the Group to Kreos and Claret was deducted,</w:t>
      </w:r>
    </w:p>
    <w:p>
      <w:pPr>
        <w:ind w:left="660" w:right="20" w:hanging="332"/>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interests discounted at a discount rate of 4% as per the terms of the prepayment option, amounting to €2,001 thousand, and</w:t>
      </w:r>
    </w:p>
    <w:p>
      <w:pPr>
        <w:ind w:left="660" w:hanging="33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end-of-loan exit fees of €3,000 thousand.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aforementioned transactions, the Group no longer holds any debt related to the Kreos Claret Financing.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15.2. Heights convertible notes</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Heights convertible notes consists of (i) a host debt instrument and (ii) conversion and settlement options representing embedded derivatives. The whole instrument is measured at FVTPL at each reporting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inception, the Heights convertible notes' fair value differed from the issuance proceeds by €2,359 thousand.</w:t>
      </w:r>
    </w:p>
    <w:p>
      <w:pPr>
        <w:spacing w:after="0" w:line="16"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8"/>
          <w:szCs w:val="18"/>
          <w:color w:val="auto"/>
        </w:rPr>
        <w:t>Since the fair value measurement of the instrument is evidenced by a valuation technique that does not only use data from observable markets, the carrying amount was adjusted to defer the difference between the fair value measurement and the transaction price, and the day one gain is therefore recognized in financial income on a straight-line basis over the term of the instrument.</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July 23 and July 30, 2025, the noteholders requested the conversion of respectively 150 and 200 convertible notes (corresponding to the entirety of the outstanding principal amount of approximately €21.9 million) into 920,377 new ordinary shares of the Group at a conversion price of €23.7674 per ordinary share (see Note 3.1 "Conversion of the Heights convertible notes – July-August 2025").</w:t>
      </w:r>
    </w:p>
    <w:p>
      <w:pPr>
        <w:spacing w:after="0" w:line="184" w:lineRule="exact"/>
        <w:rPr>
          <w:sz w:val="20"/>
          <w:szCs w:val="20"/>
          <w:color w:val="auto"/>
        </w:rPr>
      </w:pPr>
    </w:p>
    <w:p>
      <w:pPr>
        <w:jc w:val="both"/>
        <w:ind w:right="180"/>
        <w:spacing w:after="0" w:line="242" w:lineRule="auto"/>
        <w:rPr>
          <w:sz w:val="20"/>
          <w:szCs w:val="20"/>
          <w:color w:val="auto"/>
        </w:rPr>
      </w:pPr>
      <w:r>
        <w:rPr>
          <w:rFonts w:ascii="Times New Roman" w:cs="Times New Roman" w:eastAsia="Times New Roman" w:hAnsi="Times New Roman"/>
          <w:sz w:val="18"/>
          <w:szCs w:val="18"/>
          <w:color w:val="auto"/>
        </w:rPr>
        <w:t>At these dates, the fair value of the converted notes of €53,921 thousand was reclassified from financial liabilities to equity. On the conversion dates, due to the put option being exercised by the holders, the fair values of the Heights notes were deemed equal to the market prices of the issued shares.</w:t>
      </w:r>
    </w:p>
    <w:p>
      <w:pPr>
        <w:spacing w:after="0" w:line="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As a result of the derecognition of the Heights notes, the outstanding day-one gain was entirely amortized, resulting in a financial income of €1,262 thousand recognized in July 2025.</w:t>
      </w:r>
    </w:p>
    <w:p>
      <w:pPr>
        <w:sectPr>
          <w:pgSz w:w="11900" w:h="16838" w:orient="portrait"/>
          <w:cols w:equalWidth="0" w:num="1">
            <w:col w:w="9680"/>
          </w:cols>
          <w:pgMar w:left="108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F-26</w:t>
      </w:r>
    </w:p>
    <w:p>
      <w:pPr>
        <w:sectPr>
          <w:pgSz w:w="11900" w:h="16838" w:orient="portrait"/>
          <w:cols w:equalWidth="0" w:num="1">
            <w:col w:w="9680"/>
          </w:cols>
          <w:pgMar w:left="1080" w:top="1440" w:right="113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15.3. State guaranteed loan – “PGE”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2025, the Group prepaid in full the outstanding principal amount of the PGE loan of €1,264 thousand.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15.4. Lease liabilities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variations in lease liabilities are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24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LEASE LIABILITY</w:t>
            </w:r>
          </w:p>
        </w:tc>
        <w:tc>
          <w:tcPr>
            <w:tcW w:w="0" w:type="dxa"/>
            <w:vAlign w:val="bottom"/>
          </w:tcPr>
          <w:p>
            <w:pPr>
              <w:spacing w:after="0"/>
              <w:rPr>
                <w:sz w:val="1"/>
                <w:szCs w:val="1"/>
                <w:color w:val="auto"/>
              </w:rPr>
            </w:pPr>
          </w:p>
        </w:tc>
      </w:tr>
      <w:tr>
        <w:trPr>
          <w:trHeight w:val="50"/>
        </w:trPr>
        <w:tc>
          <w:tcPr>
            <w:tcW w:w="7180" w:type="dxa"/>
            <w:vAlign w:val="bottom"/>
            <w:tcBorders>
              <w:bottom w:val="single" w:sz="8" w:color="CCEEFF"/>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7180" w:type="dxa"/>
            <w:vAlign w:val="bottom"/>
            <w:shd w:val="clear" w:color="auto" w:fill="CCEEFF"/>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2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2,363</w:t>
            </w:r>
          </w:p>
        </w:tc>
        <w:tc>
          <w:tcPr>
            <w:tcW w:w="0" w:type="dxa"/>
            <w:vAlign w:val="bottom"/>
          </w:tcPr>
          <w:p>
            <w:pPr>
              <w:spacing w:after="0"/>
              <w:rPr>
                <w:sz w:val="1"/>
                <w:szCs w:val="1"/>
                <w:color w:val="auto"/>
              </w:rPr>
            </w:pPr>
          </w:p>
        </w:tc>
      </w:tr>
      <w:tr>
        <w:trPr>
          <w:trHeight w:val="96"/>
        </w:trPr>
        <w:tc>
          <w:tcPr>
            <w:tcW w:w="7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24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180" w:type="dxa"/>
            <w:vAlign w:val="bottom"/>
            <w:tcBorders>
              <w:bottom w:val="single" w:sz="8" w:color="CCEEFF"/>
            </w:tcBorders>
            <w:vMerge w:val="continue"/>
            <w:shd w:val="clear" w:color="auto" w:fill="CCEEFF"/>
          </w:tcPr>
          <w:p>
            <w:pPr>
              <w:spacing w:after="0"/>
              <w:rPr>
                <w:sz w:val="9"/>
                <w:szCs w:val="9"/>
                <w:color w:val="auto"/>
              </w:rPr>
            </w:pPr>
          </w:p>
        </w:tc>
        <w:tc>
          <w:tcPr>
            <w:tcW w:w="24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 Increase</w:t>
            </w: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80" w:type="dxa"/>
            <w:vAlign w:val="bottom"/>
            <w:vMerge w:val="continue"/>
          </w:tcPr>
          <w:p>
            <w:pPr>
              <w:spacing w:after="0"/>
              <w:rPr>
                <w:sz w:val="14"/>
                <w:szCs w:val="1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Decrease</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31"/>
        </w:trPr>
        <w:tc>
          <w:tcPr>
            <w:tcW w:w="718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2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2,122</w:t>
            </w:r>
          </w:p>
        </w:tc>
        <w:tc>
          <w:tcPr>
            <w:tcW w:w="0" w:type="dxa"/>
            <w:vAlign w:val="bottom"/>
          </w:tcPr>
          <w:p>
            <w:pPr>
              <w:spacing w:after="0"/>
              <w:rPr>
                <w:sz w:val="1"/>
                <w:szCs w:val="1"/>
                <w:color w:val="auto"/>
              </w:rPr>
            </w:pPr>
          </w:p>
        </w:tc>
      </w:tr>
      <w:tr>
        <w:trPr>
          <w:trHeight w:val="96"/>
        </w:trPr>
        <w:tc>
          <w:tcPr>
            <w:tcW w:w="7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7180" w:type="dxa"/>
            <w:vAlign w:val="bottom"/>
            <w:vMerge w:val="continue"/>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8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718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24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1,856</w:t>
            </w:r>
          </w:p>
        </w:tc>
        <w:tc>
          <w:tcPr>
            <w:tcW w:w="0" w:type="dxa"/>
            <w:vAlign w:val="bottom"/>
          </w:tcPr>
          <w:p>
            <w:pPr>
              <w:spacing w:after="0"/>
              <w:rPr>
                <w:sz w:val="1"/>
                <w:szCs w:val="1"/>
                <w:color w:val="auto"/>
              </w:rPr>
            </w:pPr>
          </w:p>
        </w:tc>
      </w:tr>
      <w:tr>
        <w:trPr>
          <w:trHeight w:val="96"/>
        </w:trPr>
        <w:tc>
          <w:tcPr>
            <w:tcW w:w="7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7180" w:type="dxa"/>
            <w:vAlign w:val="bottom"/>
            <w:vMerge w:val="continue"/>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Increase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Decrease</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8"/>
        </w:trPr>
        <w:tc>
          <w:tcPr>
            <w:tcW w:w="71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180" w:type="dxa"/>
            <w:vAlign w:val="bottom"/>
            <w:shd w:val="clear" w:color="auto" w:fill="CCEEFF"/>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24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1,447</w:t>
            </w:r>
          </w:p>
        </w:tc>
        <w:tc>
          <w:tcPr>
            <w:tcW w:w="0" w:type="dxa"/>
            <w:vAlign w:val="bottom"/>
          </w:tcPr>
          <w:p>
            <w:pPr>
              <w:spacing w:after="0"/>
              <w:rPr>
                <w:sz w:val="1"/>
                <w:szCs w:val="1"/>
                <w:color w:val="auto"/>
              </w:rPr>
            </w:pPr>
          </w:p>
        </w:tc>
      </w:tr>
      <w:tr>
        <w:trPr>
          <w:trHeight w:val="96"/>
        </w:trPr>
        <w:tc>
          <w:tcPr>
            <w:tcW w:w="7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180" w:type="dxa"/>
            <w:vAlign w:val="bottom"/>
            <w:tcBorders>
              <w:bottom w:val="single" w:sz="8" w:color="CCEEFF"/>
            </w:tcBorders>
            <w:vMerge w:val="continue"/>
            <w:shd w:val="clear" w:color="auto" w:fill="CCEEFF"/>
          </w:tcPr>
          <w:p>
            <w:pPr>
              <w:spacing w:after="0"/>
              <w:rPr>
                <w:sz w:val="9"/>
                <w:szCs w:val="9"/>
                <w:color w:val="auto"/>
              </w:rPr>
            </w:pPr>
          </w:p>
        </w:tc>
        <w:tc>
          <w:tcPr>
            <w:tcW w:w="24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Lease liabilities mainly relate to the Group’s headquarters in Paris entered into in May 2024, the Boston office entered into in November 2023 and the Montpellier offices entered into in April 2024 (see Note 8).</w:t>
      </w:r>
    </w:p>
    <w:p>
      <w:pPr>
        <w:spacing w:after="0" w:line="14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2025 and March 31, 2026, the lease liabilities of the Paris headquarters and Boston offices represented 70% and 74% of the total lease liability, respectively.</w:t>
      </w:r>
    </w:p>
    <w:p>
      <w:pPr>
        <w:spacing w:after="0" w:line="14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7"/>
          <w:szCs w:val="17"/>
          <w:color w:val="auto"/>
        </w:rPr>
        <w:t>Lease expenses related to contracts for which a lease liability and right of use asset is recognized under IFRS 16 were €219 thousand and €301 thousand for the three-month periods ended March 31, 2025 and 2026, respectively. They were recognized for (i)</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€194 thousand and €280 thousand as Depreciation expenses and (ii) €19 thousand and €13 thousand as Interest expenses, for the three-month periods ended March 31, 2025 and 2026, respectively.</w:t>
      </w:r>
    </w:p>
    <w:p>
      <w:pPr>
        <w:spacing w:after="0" w:line="1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Lease expenses related to short-term lease contracts and low value assets that are not included in the valuation of the lease liability amount to €87 thousand, and €1 thousand for the three-month periods ended March 31, 2025 and 2026,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15.5. Royalty certificates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royalty certificates are measured at amortized cost using the EIR method.</w:t>
      </w:r>
    </w:p>
    <w:p>
      <w:pPr>
        <w:spacing w:after="0" w:line="25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As of March 31, 2026, using the same future royalty cash flows assumptions with an increase of 5 points of POS and +5% of peak penetration (best case scenario) would result in an increase in the royalty certificates carrying value by respectively €+1,853 thousand and €+2,882 thousand. Using the same assumptions with a decrease of (5)% points of POS and (5)% of peak penetration (worst case scenario) would result in a decrease in the royalty certificates carrying value by respectively €(1,853) thousand and €(4,416) thousand.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ectPr>
          <w:pgSz w:w="11900" w:h="16838" w:orient="portrait"/>
          <w:cols w:equalWidth="0" w:num="1">
            <w:col w:w="9720"/>
          </w:cols>
          <w:pgMar w:left="1080" w:top="1440" w:right="1099" w:bottom="1440" w:gutter="0" w:footer="0" w:header="0"/>
          <w:type w:val="continuous"/>
        </w:sectPr>
      </w:pPr>
    </w:p>
    <w:bookmarkStart w:id="43" w:name="page44"/>
    <w:bookmarkEnd w:id="43"/>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380"/>
        <w:spacing w:after="0"/>
        <w:rPr>
          <w:sz w:val="20"/>
          <w:szCs w:val="20"/>
          <w:color w:val="auto"/>
        </w:rPr>
      </w:pPr>
      <w:r>
        <w:rPr>
          <w:rFonts w:ascii="Times New Roman" w:cs="Times New Roman" w:eastAsia="Times New Roman" w:hAnsi="Times New Roman"/>
          <w:sz w:val="18"/>
          <w:szCs w:val="18"/>
          <w:color w:val="auto"/>
        </w:rPr>
        <w:t>The fair value of the royalty certificates is based on the net present value of royalties, which depends on assumptions made by the Group with regards to the probability of success of its studies (“POS”), the commercialization budget of obefazimod (“peak penetration”) and the discount rate. As of December 31, 2025 and March 31, 2026, the fair value amounts to respectively €102,001 thousand and €104,032 thousand.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ensured that the discount rate of 7.5% used is reasonable based on the specific risk profile of the royalties certificates.</w:t>
      </w:r>
    </w:p>
    <w:p>
      <w:pPr>
        <w:spacing w:after="0" w:line="178" w:lineRule="exact"/>
        <w:rPr>
          <w:sz w:val="20"/>
          <w:szCs w:val="20"/>
          <w:color w:val="auto"/>
        </w:rPr>
      </w:pPr>
    </w:p>
    <w:p>
      <w:pPr>
        <w:ind w:right="460"/>
        <w:spacing w:after="0" w:line="252" w:lineRule="auto"/>
        <w:rPr>
          <w:sz w:val="20"/>
          <w:szCs w:val="20"/>
          <w:color w:val="auto"/>
        </w:rPr>
      </w:pPr>
      <w:r>
        <w:rPr>
          <w:rFonts w:ascii="Times New Roman" w:cs="Times New Roman" w:eastAsia="Times New Roman" w:hAnsi="Times New Roman"/>
          <w:sz w:val="17"/>
          <w:szCs w:val="17"/>
          <w:color w:val="auto"/>
        </w:rPr>
        <w:t>As of December 31, 2025, using the same assumptions with an increase of +5 points of POS, +5% of peak penetration (best case scenario) and +1% WACC would result in a change in the royalty certificates fair value by respectively €+5810 thousand, €</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+2830 thousand and €(4,940) thousand. Using the same assumptions with a decrease of (5) points of POS, (5)% of peak penetration (worst case scenario) and (1)% WACC would result in a change in the royalty certificates fair value by respectively €(5,810) thousand, €(5,590) thousand and €+5,251 thousand.</w:t>
      </w:r>
    </w:p>
    <w:p>
      <w:pPr>
        <w:spacing w:after="0" w:line="17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As of March 31, 2026, using the same assumptions with an increase of +5 points of POS, +5% of peak penetration (best case scenario) and +1% discount rate would result in a change in the royalty certificates fair value by respectively €+5,920 thousand, €</w:t>
      </w:r>
    </w:p>
    <w:p>
      <w:pPr>
        <w:spacing w:after="0" w:line="1"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+2,952 thousand and €(4,786) thousand. Using the same assumptions with a decrease of (5) points of POS, (5)% of peak penetration (worst case scenario) and (1)% discount rate would result in a change in the royalty certificates fair value by respectively €(5,920) thousand, €(5,557) thousand, and €5,078 thousand.</w:t>
      </w:r>
    </w:p>
    <w:p>
      <w:pPr>
        <w:spacing w:after="0" w:line="37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royalty certificates were repurchased by the Group on May 7, 2026 for an aggregate price of €76,466 thousand, paid in cash and ADSs, and subsequently cancelled (see Note 3.3).</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ectPr>
          <w:pgSz w:w="11900" w:h="16838" w:orient="portrait"/>
          <w:cols w:equalWidth="0" w:num="1">
            <w:col w:w="9720"/>
          </w:cols>
          <w:pgMar w:left="1080" w:top="1440" w:right="1099" w:bottom="1440" w:gutter="0" w:footer="0" w:header="0"/>
          <w:type w:val="continuous"/>
        </w:sectPr>
      </w:pPr>
    </w:p>
    <w:bookmarkStart w:id="44" w:name="page45"/>
    <w:bookmarkEnd w:id="44"/>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15.6. Change in financial liabilities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Changes in financial liabilities, excluding derivative instruments, are presented below as of March 31, 2025 and 2026:</w:t>
      </w:r>
    </w:p>
    <w:p>
      <w:pPr>
        <w:spacing w:after="0" w:line="2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p>
      <w:pPr>
        <w:spacing w:after="0" w:line="113"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FINANCIAL LIABILITIES (excluding derivatives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Kreos/Claret</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Kreos &amp;</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Heights</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60" w:type="dxa"/>
            <w:vAlign w:val="bottom"/>
            <w:vMerge w:val="continue"/>
          </w:tcPr>
          <w:p>
            <w:pPr>
              <w:spacing w:after="0"/>
              <w:rPr>
                <w:sz w:val="7"/>
                <w:szCs w:val="7"/>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convertible</w:t>
            </w:r>
          </w:p>
        </w:tc>
        <w:tc>
          <w:tcPr>
            <w:tcW w:w="86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Lease</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Royalty</w:t>
            </w: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7"/>
        </w:trPr>
        <w:tc>
          <w:tcPr>
            <w:tcW w:w="36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Claret bond</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convertible</w:t>
            </w: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PGE</w:t>
            </w: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660" w:type="dxa"/>
            <w:vAlign w:val="bottom"/>
            <w:vMerge w:val="restart"/>
          </w:tcPr>
          <w:p>
            <w:pPr>
              <w:ind w:left="1420"/>
              <w:spacing w:after="0" w:line="153"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86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liabilities</w:t>
            </w: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certificates</w:t>
            </w: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36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loans</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660" w:type="dxa"/>
            <w:vAlign w:val="bottom"/>
          </w:tcPr>
          <w:p>
            <w:pPr>
              <w:spacing w:after="0"/>
              <w:rPr>
                <w:sz w:val="7"/>
                <w:szCs w:val="7"/>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(OCABSA)</w:t>
            </w:r>
          </w:p>
        </w:tc>
        <w:tc>
          <w:tcPr>
            <w:tcW w:w="86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66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66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23,370</w:t>
            </w:r>
          </w:p>
        </w:tc>
        <w:tc>
          <w:tcPr>
            <w:tcW w:w="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46,401</w:t>
            </w:r>
          </w:p>
        </w:tc>
        <w:tc>
          <w:tcPr>
            <w:tcW w:w="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21,574</w:t>
            </w:r>
          </w:p>
        </w:tc>
        <w:tc>
          <w:tcPr>
            <w:tcW w:w="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2,488</w:t>
            </w:r>
          </w:p>
        </w:tc>
        <w:tc>
          <w:tcPr>
            <w:tcW w:w="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2,363</w:t>
            </w:r>
          </w:p>
        </w:tc>
        <w:tc>
          <w:tcPr>
            <w:tcW w:w="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13,023</w:t>
            </w:r>
          </w:p>
        </w:tc>
        <w:tc>
          <w:tcPr>
            <w:tcW w:w="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109,218</w:t>
            </w:r>
          </w:p>
        </w:tc>
        <w:tc>
          <w:tcPr>
            <w:tcW w:w="0" w:type="dxa"/>
            <w:vAlign w:val="bottom"/>
          </w:tcPr>
          <w:p>
            <w:pPr>
              <w:spacing w:after="0"/>
              <w:rPr>
                <w:sz w:val="1"/>
                <w:szCs w:val="1"/>
                <w:color w:val="auto"/>
              </w:rPr>
            </w:pPr>
          </w:p>
        </w:tc>
      </w:tr>
      <w:tr>
        <w:trPr>
          <w:trHeight w:val="109"/>
        </w:trPr>
        <w:tc>
          <w:tcPr>
            <w:tcW w:w="36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660" w:type="dxa"/>
            <w:vAlign w:val="bottom"/>
            <w:tcBorders>
              <w:bottom w:val="single" w:sz="8" w:color="CCEEFF"/>
            </w:tcBorders>
            <w:vMerge w:val="continue"/>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Proceeds</w:t>
            </w:r>
          </w:p>
        </w:tc>
        <w:tc>
          <w:tcPr>
            <w:tcW w:w="84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60" w:type="dxa"/>
            <w:vAlign w:val="bottom"/>
            <w:tcBorders>
              <w:top w:val="single" w:sz="8" w:color="CCEEFF"/>
            </w:tcBorders>
            <w:vMerge w:val="continue"/>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(6,122)</w:t>
            </w:r>
          </w:p>
        </w:tc>
        <w:tc>
          <w:tcPr>
            <w:tcW w:w="0" w:type="dxa"/>
            <w:vAlign w:val="bottom"/>
          </w:tcPr>
          <w:p>
            <w:pPr>
              <w:spacing w:after="0"/>
              <w:rPr>
                <w:sz w:val="1"/>
                <w:szCs w:val="1"/>
                <w:color w:val="auto"/>
              </w:rPr>
            </w:pPr>
          </w:p>
        </w:tc>
      </w:tr>
      <w:tr>
        <w:trPr>
          <w:trHeight w:val="211"/>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paid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(1,962)</w:t>
            </w:r>
          </w:p>
        </w:tc>
        <w:tc>
          <w:tcPr>
            <w:tcW w:w="0" w:type="dxa"/>
            <w:vAlign w:val="bottom"/>
          </w:tcPr>
          <w:p>
            <w:pPr>
              <w:spacing w:after="0"/>
              <w:rPr>
                <w:sz w:val="1"/>
                <w:szCs w:val="1"/>
                <w:color w:val="auto"/>
              </w:rPr>
            </w:pPr>
          </w:p>
        </w:tc>
      </w:tr>
      <w:tr>
        <w:trPr>
          <w:trHeight w:val="185"/>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Non-cash changes: (gain)/loss on recognition or</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6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w:t>
            </w:r>
          </w:p>
        </w:tc>
        <w:tc>
          <w:tcPr>
            <w:tcW w:w="0" w:type="dxa"/>
            <w:vAlign w:val="bottom"/>
          </w:tcPr>
          <w:p>
            <w:pPr>
              <w:spacing w:after="0"/>
              <w:rPr>
                <w:sz w:val="1"/>
                <w:szCs w:val="1"/>
                <w:color w:val="auto"/>
              </w:rPr>
            </w:pPr>
          </w:p>
        </w:tc>
      </w:tr>
      <w:tr>
        <w:trPr>
          <w:trHeight w:val="107"/>
        </w:trPr>
        <w:tc>
          <w:tcPr>
            <w:tcW w:w="36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derecognition</w:t>
            </w:r>
          </w:p>
        </w:tc>
        <w:tc>
          <w:tcPr>
            <w:tcW w:w="840" w:type="dxa"/>
            <w:vAlign w:val="bottom"/>
            <w:gridSpan w:val="2"/>
            <w:vMerge w:val="continue"/>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660" w:type="dxa"/>
            <w:vAlign w:val="bottom"/>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Non-cash changes: interest expense and other</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60" w:type="dxa"/>
            <w:vAlign w:val="bottom"/>
          </w:tcPr>
          <w:p>
            <w:pPr>
              <w:spacing w:after="0"/>
              <w:rPr>
                <w:sz w:val="24"/>
                <w:szCs w:val="24"/>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4,535</w:t>
            </w:r>
          </w:p>
        </w:tc>
        <w:tc>
          <w:tcPr>
            <w:tcW w:w="0" w:type="dxa"/>
            <w:vAlign w:val="bottom"/>
          </w:tcPr>
          <w:p>
            <w:pPr>
              <w:spacing w:after="0"/>
              <w:rPr>
                <w:sz w:val="1"/>
                <w:szCs w:val="1"/>
                <w:color w:val="auto"/>
              </w:rPr>
            </w:pPr>
          </w:p>
        </w:tc>
      </w:tr>
      <w:tr>
        <w:trPr>
          <w:trHeight w:val="91"/>
        </w:trPr>
        <w:tc>
          <w:tcPr>
            <w:tcW w:w="3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Non-cash changes: other fair value remeasurement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1,051</w:t>
            </w:r>
          </w:p>
        </w:tc>
        <w:tc>
          <w:tcPr>
            <w:tcW w:w="0" w:type="dxa"/>
            <w:vAlign w:val="bottom"/>
          </w:tcPr>
          <w:p>
            <w:pPr>
              <w:spacing w:after="0"/>
              <w:rPr>
                <w:sz w:val="1"/>
                <w:szCs w:val="1"/>
                <w:color w:val="auto"/>
              </w:rPr>
            </w:pPr>
          </w:p>
        </w:tc>
      </w:tr>
      <w:tr>
        <w:trPr>
          <w:trHeight w:val="91"/>
        </w:trPr>
        <w:tc>
          <w:tcPr>
            <w:tcW w:w="36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 cash changes : Effect of the change in foreign currency</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5"/>
                <w:szCs w:val="15"/>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r>
        <w:trPr>
          <w:trHeight w:val="107"/>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exchange rates</w:t>
            </w:r>
          </w:p>
        </w:tc>
        <w:tc>
          <w:tcPr>
            <w:tcW w:w="8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660" w:type="dxa"/>
            <w:vAlign w:val="bottom"/>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66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23,819</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43,832</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20,273</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2,510</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2,122</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14,006</w:t>
            </w: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106,563</w:t>
            </w:r>
          </w:p>
        </w:tc>
        <w:tc>
          <w:tcPr>
            <w:tcW w:w="0" w:type="dxa"/>
            <w:vAlign w:val="bottom"/>
          </w:tcPr>
          <w:p>
            <w:pPr>
              <w:spacing w:after="0"/>
              <w:rPr>
                <w:sz w:val="1"/>
                <w:szCs w:val="1"/>
                <w:color w:val="auto"/>
              </w:rPr>
            </w:pPr>
          </w:p>
        </w:tc>
      </w:tr>
      <w:tr>
        <w:trPr>
          <w:trHeight w:val="109"/>
        </w:trPr>
        <w:tc>
          <w:tcPr>
            <w:tcW w:w="36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660" w:type="dxa"/>
            <w:vAlign w:val="bottom"/>
            <w:tcBorders>
              <w:bottom w:val="single" w:sz="8" w:color="CCEEFF"/>
            </w:tcBorders>
            <w:vMerge w:val="continue"/>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660" w:type="dxa"/>
            <w:vAlign w:val="bottom"/>
            <w:vMerge w:val="continue"/>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1,856</w:t>
            </w: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30,237</w:t>
            </w: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32,093</w:t>
            </w:r>
          </w:p>
        </w:tc>
        <w:tc>
          <w:tcPr>
            <w:tcW w:w="0" w:type="dxa"/>
            <w:vAlign w:val="bottom"/>
          </w:tcPr>
          <w:p>
            <w:pPr>
              <w:spacing w:after="0"/>
              <w:rPr>
                <w:sz w:val="1"/>
                <w:szCs w:val="1"/>
                <w:color w:val="auto"/>
              </w:rPr>
            </w:pPr>
          </w:p>
        </w:tc>
      </w:tr>
      <w:tr>
        <w:trPr>
          <w:trHeight w:val="109"/>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660" w:type="dxa"/>
            <w:vAlign w:val="bottom"/>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(412)</w:t>
            </w:r>
          </w:p>
        </w:tc>
        <w:tc>
          <w:tcPr>
            <w:tcW w:w="0" w:type="dxa"/>
            <w:vAlign w:val="bottom"/>
          </w:tcPr>
          <w:p>
            <w:pPr>
              <w:spacing w:after="0"/>
              <w:rPr>
                <w:sz w:val="1"/>
                <w:szCs w:val="1"/>
                <w:color w:val="auto"/>
              </w:rPr>
            </w:pPr>
          </w:p>
        </w:tc>
      </w:tr>
      <w:tr>
        <w:trPr>
          <w:trHeight w:val="211"/>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paid</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0" w:type="dxa"/>
            <w:vAlign w:val="bottom"/>
          </w:tcPr>
          <w:p>
            <w:pPr>
              <w:spacing w:after="0"/>
              <w:rPr>
                <w:sz w:val="1"/>
                <w:szCs w:val="1"/>
                <w:color w:val="auto"/>
              </w:rPr>
            </w:pPr>
          </w:p>
        </w:tc>
      </w:tr>
      <w:tr>
        <w:trPr>
          <w:trHeight w:val="292"/>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Non-cash changes: interest expense and other</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2,540</w:t>
            </w:r>
          </w:p>
        </w:tc>
        <w:tc>
          <w:tcPr>
            <w:tcW w:w="0" w:type="dxa"/>
            <w:vAlign w:val="bottom"/>
          </w:tcPr>
          <w:p>
            <w:pPr>
              <w:spacing w:after="0"/>
              <w:rPr>
                <w:sz w:val="1"/>
                <w:szCs w:val="1"/>
                <w:color w:val="auto"/>
              </w:rPr>
            </w:pPr>
          </w:p>
        </w:tc>
      </w:tr>
      <w:tr>
        <w:trPr>
          <w:trHeight w:val="91"/>
        </w:trPr>
        <w:tc>
          <w:tcPr>
            <w:tcW w:w="36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 cash changes : Effect of the change in foreign currency</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5"/>
                <w:szCs w:val="15"/>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07"/>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exchange rates</w:t>
            </w:r>
          </w:p>
        </w:tc>
        <w:tc>
          <w:tcPr>
            <w:tcW w:w="8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660" w:type="dxa"/>
            <w:vAlign w:val="bottom"/>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66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1,447</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32,764</w:t>
            </w: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34,210</w:t>
            </w:r>
          </w:p>
        </w:tc>
        <w:tc>
          <w:tcPr>
            <w:tcW w:w="0" w:type="dxa"/>
            <w:vAlign w:val="bottom"/>
          </w:tcPr>
          <w:p>
            <w:pPr>
              <w:spacing w:after="0"/>
              <w:rPr>
                <w:sz w:val="1"/>
                <w:szCs w:val="1"/>
                <w:color w:val="auto"/>
              </w:rPr>
            </w:pPr>
          </w:p>
        </w:tc>
      </w:tr>
      <w:tr>
        <w:trPr>
          <w:trHeight w:val="109"/>
        </w:trPr>
        <w:tc>
          <w:tcPr>
            <w:tcW w:w="36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40" w:type="dxa"/>
            <w:vAlign w:val="bottom"/>
            <w:gridSpan w:val="2"/>
            <w:vMerge w:val="continue"/>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660" w:type="dxa"/>
            <w:vAlign w:val="bottom"/>
            <w:tcBorders>
              <w:bottom w:val="single" w:sz="8" w:color="CCEEFF"/>
            </w:tcBorders>
            <w:vMerge w:val="continue"/>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15.7. Change in derivative instruments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derivative instruments are presented below:</w:t>
      </w:r>
    </w:p>
    <w:p>
      <w:pPr>
        <w:sectPr>
          <w:pgSz w:w="11900" w:h="16838" w:orient="portrait"/>
          <w:cols w:equalWidth="0" w:num="1">
            <w:col w:w="9620"/>
          </w:cols>
          <w:pgMar w:left="1080" w:top="144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9620"/>
          </w:cols>
          <w:pgMar w:left="1080" w:top="1440" w:right="1199" w:bottom="1440" w:gutter="0" w:footer="0" w:header="0"/>
          <w:type w:val="continuous"/>
        </w:sectPr>
      </w:pPr>
    </w:p>
    <w:bookmarkStart w:id="45" w:name="page46"/>
    <w:bookmarkEnd w:id="45"/>
    <w:p>
      <w:pPr>
        <w:spacing w:after="0" w:line="2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90"/>
        </w:trPr>
        <w:tc>
          <w:tcPr>
            <w:tcW w:w="2400" w:type="dxa"/>
            <w:vAlign w:val="bottom"/>
          </w:tcPr>
          <w:p>
            <w:pPr>
              <w:ind w:left="26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Kreos/Claret</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FINANCIAL</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Kreos/Claret BSA</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Minimal Return</w:t>
            </w:r>
          </w:p>
        </w:tc>
        <w:tc>
          <w:tcPr>
            <w:tcW w:w="12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40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Indemnifications</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40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1,166</w:t>
            </w:r>
          </w:p>
        </w:tc>
        <w:tc>
          <w:tcPr>
            <w:tcW w:w="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3,620</w:t>
            </w:r>
          </w:p>
        </w:tc>
        <w:tc>
          <w:tcPr>
            <w:tcW w:w="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4,786</w:t>
            </w:r>
          </w:p>
        </w:tc>
        <w:tc>
          <w:tcPr>
            <w:tcW w:w="0" w:type="dxa"/>
            <w:vAlign w:val="bottom"/>
          </w:tcPr>
          <w:p>
            <w:pPr>
              <w:spacing w:after="0"/>
              <w:rPr>
                <w:sz w:val="1"/>
                <w:szCs w:val="1"/>
                <w:color w:val="auto"/>
              </w:rPr>
            </w:pPr>
          </w:p>
        </w:tc>
      </w:tr>
      <w:tr>
        <w:trPr>
          <w:trHeight w:val="109"/>
        </w:trPr>
        <w:tc>
          <w:tcPr>
            <w:tcW w:w="24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13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400" w:type="dxa"/>
            <w:vAlign w:val="bottom"/>
            <w:tcBorders>
              <w:bottom w:val="single" w:sz="8" w:color="CCEEFF"/>
            </w:tcBorders>
            <w:vMerge w:val="continue"/>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 Increase in fair value</w:t>
            </w:r>
          </w:p>
        </w:tc>
        <w:tc>
          <w:tcPr>
            <w:tcW w:w="14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00" w:type="dxa"/>
            <w:vAlign w:val="bottom"/>
            <w:tcBorders>
              <w:top w:val="single" w:sz="8" w:color="CCEEFF"/>
            </w:tcBorders>
            <w:vMerge w:val="continue"/>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60" w:type="dxa"/>
            <w:vAlign w:val="bottom"/>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Decrease in fair value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0" w:type="dxa"/>
            <w:vAlign w:val="bottom"/>
          </w:tcPr>
          <w:p>
            <w:pPr>
              <w:spacing w:after="0"/>
              <w:rPr>
                <w:sz w:val="1"/>
                <w:szCs w:val="1"/>
                <w:color w:val="auto"/>
              </w:rPr>
            </w:pPr>
          </w:p>
        </w:tc>
      </w:tr>
      <w:tr>
        <w:trPr>
          <w:trHeight w:val="158"/>
        </w:trPr>
        <w:tc>
          <w:tcPr>
            <w:tcW w:w="24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1,021</w:t>
            </w:r>
          </w:p>
        </w:tc>
        <w:tc>
          <w:tcPr>
            <w:tcW w:w="60" w:type="dxa"/>
            <w:vAlign w:val="bottom"/>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3,795</w:t>
            </w:r>
          </w:p>
        </w:tc>
        <w:tc>
          <w:tcPr>
            <w:tcW w:w="60" w:type="dxa"/>
            <w:vAlign w:val="bottom"/>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4,816</w:t>
            </w:r>
          </w:p>
        </w:tc>
        <w:tc>
          <w:tcPr>
            <w:tcW w:w="0" w:type="dxa"/>
            <w:vAlign w:val="bottom"/>
          </w:tcPr>
          <w:p>
            <w:pPr>
              <w:spacing w:after="0"/>
              <w:rPr>
                <w:sz w:val="1"/>
                <w:szCs w:val="1"/>
                <w:color w:val="auto"/>
              </w:rPr>
            </w:pPr>
          </w:p>
        </w:tc>
      </w:tr>
      <w:tr>
        <w:trPr>
          <w:trHeight w:val="109"/>
        </w:trPr>
        <w:tc>
          <w:tcPr>
            <w:tcW w:w="2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400" w:type="dxa"/>
            <w:vAlign w:val="bottom"/>
            <w:vMerge w:val="continue"/>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4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9"/>
        </w:trPr>
        <w:tc>
          <w:tcPr>
            <w:tcW w:w="2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2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400" w:type="dxa"/>
            <w:vAlign w:val="bottom"/>
            <w:vMerge w:val="continue"/>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Increase in fair value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2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Decrease in fair value</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Repurchases</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2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Exercises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9"/>
        </w:trPr>
        <w:tc>
          <w:tcPr>
            <w:tcW w:w="24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20" w:type="dxa"/>
            <w:vAlign w:val="bottom"/>
            <w:gridSpan w:val="2"/>
            <w:vMerge w:val="continue"/>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400" w:type="dxa"/>
            <w:vAlign w:val="bottom"/>
            <w:tcBorders>
              <w:bottom w:val="single" w:sz="8" w:color="CCEEFF"/>
            </w:tcBorders>
            <w:vMerge w:val="continue"/>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Details related to these instruments' accounting treatments and terms and conditions are set forth in Notes 15.1 and 15.2 of these financial statements, as well as in Notes 15.1 and 15.2 to the annual consolidated financial statements of the Group as of December 31, 2025 accompanying the Group’s Annual Report.</w:t>
      </w:r>
    </w:p>
    <w:p>
      <w:pPr>
        <w:spacing w:after="0" w:line="200" w:lineRule="exact"/>
        <w:rPr>
          <w:sz w:val="20"/>
          <w:szCs w:val="20"/>
          <w:color w:val="auto"/>
        </w:rPr>
      </w:pPr>
    </w:p>
    <w:p>
      <w:pPr>
        <w:spacing w:after="0" w:line="3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Note 15.8. Breakdown of financial liabilities by maturity</w:t>
      </w:r>
    </w:p>
    <w:p>
      <w:pPr>
        <w:spacing w:after="0" w:line="25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following are the remaining contractual maturities of financial liabilities as of December 31, 2025 and March 31, 2026. The amounts are gross and undiscounted, and include contractual interest payments.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gridSpan w:val="2"/>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5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38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380" w:type="dxa"/>
            <w:vAlign w:val="bottom"/>
            <w:gridSpan w:val="5"/>
            <w:vMerge w:val="continue"/>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 AND NON-CURRENT</w:t>
            </w:r>
          </w:p>
        </w:tc>
        <w:tc>
          <w:tcPr>
            <w:tcW w:w="12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3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LESS THAN 1</w:t>
            </w:r>
          </w:p>
        </w:tc>
        <w:tc>
          <w:tcPr>
            <w:tcW w:w="10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FROM 1 TO 2</w:t>
            </w: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FROM 2 TO 5</w:t>
            </w: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LONGER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580" w:type="dxa"/>
            <w:vAlign w:val="bottom"/>
            <w:gridSpan w:val="2"/>
            <w:vMerge w:val="continue"/>
          </w:tcPr>
          <w:p>
            <w:pPr>
              <w:spacing w:after="0"/>
              <w:rPr>
                <w:sz w:val="8"/>
                <w:szCs w:val="8"/>
                <w:color w:val="auto"/>
              </w:rPr>
            </w:pPr>
          </w:p>
        </w:tc>
        <w:tc>
          <w:tcPr>
            <w:tcW w:w="1200" w:type="dxa"/>
            <w:vAlign w:val="bottom"/>
            <w:gridSpan w:val="4"/>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THAN 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20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80" w:type="dxa"/>
            <w:vAlign w:val="bottom"/>
            <w:gridSpan w:val="2"/>
            <w:vMerge w:val="continue"/>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Royalty certificates (1)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color w:val="auto"/>
              </w:rPr>
              <w:t>Lease liabilities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1,906</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1,340</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32,093</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1,906</w:t>
            </w:r>
          </w:p>
        </w:tc>
        <w:tc>
          <w:tcPr>
            <w:tcW w:w="118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1,340</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w:t>
            </w: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2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gridSpan w:val="2"/>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58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38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380" w:type="dxa"/>
            <w:vAlign w:val="bottom"/>
            <w:gridSpan w:val="5"/>
            <w:vMerge w:val="continue"/>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LONGER</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3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LESS THAN 1</w:t>
            </w:r>
          </w:p>
        </w:tc>
        <w:tc>
          <w:tcPr>
            <w:tcW w:w="1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FROM 1 TO 2</w:t>
            </w:r>
          </w:p>
        </w:tc>
        <w:tc>
          <w:tcPr>
            <w:tcW w:w="11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FROM 2 TO 5</w:t>
            </w: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 AND NON-CURRENT</w:t>
            </w:r>
          </w:p>
        </w:tc>
        <w:tc>
          <w:tcPr>
            <w:tcW w:w="1200" w:type="dxa"/>
            <w:vAlign w:val="bottom"/>
            <w:gridSpan w:val="4"/>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THAN 5</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580" w:type="dxa"/>
            <w:vAlign w:val="bottom"/>
            <w:gridSpan w:val="2"/>
            <w:vMerge w:val="continue"/>
          </w:tcPr>
          <w:p>
            <w:pPr>
              <w:spacing w:after="0"/>
              <w:rPr>
                <w:sz w:val="8"/>
                <w:szCs w:val="8"/>
                <w:color w:val="auto"/>
              </w:rPr>
            </w:pPr>
          </w:p>
        </w:tc>
        <w:tc>
          <w:tcPr>
            <w:tcW w:w="12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200" w:type="dxa"/>
            <w:vAlign w:val="bottom"/>
            <w:gridSpan w:val="4"/>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58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Royalty certificates (1)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tcBorders>
              <w:right w:val="single" w:sz="8" w:color="CCEC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right w:val="single" w:sz="8" w:color="CCEC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shd w:val="clear" w:color="auto" w:fill="CCECFF"/>
          </w:tcPr>
          <w:p>
            <w:pPr>
              <w:spacing w:after="0"/>
              <w:rPr>
                <w:sz w:val="18"/>
                <w:szCs w:val="18"/>
                <w:color w:val="auto"/>
              </w:rPr>
            </w:pPr>
          </w:p>
        </w:tc>
        <w:tc>
          <w:tcPr>
            <w:tcW w:w="1180" w:type="dxa"/>
            <w:vAlign w:val="bottom"/>
            <w:tcBorders>
              <w:right w:val="single" w:sz="8" w:color="CCEC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Lease liabilities</w:t>
            </w: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1,482</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1,127</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34,210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1,482</w:t>
            </w:r>
          </w:p>
        </w:tc>
        <w:tc>
          <w:tcPr>
            <w:tcW w:w="118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1,127</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w:t>
            </w:r>
          </w:p>
        </w:tc>
        <w:tc>
          <w:tcPr>
            <w:tcW w:w="100" w:type="dxa"/>
            <w:vAlign w:val="bottom"/>
            <w:tcBorders>
              <w:right w:val="single" w:sz="8" w:color="CCEEFF"/>
            </w:tcBorders>
            <w:shd w:val="clear" w:color="auto" w:fill="CCEEFF"/>
          </w:tcPr>
          <w:p>
            <w:pPr>
              <w:spacing w:after="0"/>
              <w:rPr>
                <w:sz w:val="17"/>
                <w:szCs w:val="17"/>
                <w:color w:val="auto"/>
              </w:rPr>
            </w:pPr>
          </w:p>
        </w:tc>
        <w:tc>
          <w:tcPr>
            <w:tcW w:w="10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60" w:hanging="256"/>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cash flows above do not include potential future royalty payments related to the royalty certificates, amounting to</w:t>
      </w:r>
    </w:p>
    <w:p>
      <w:pPr>
        <w:spacing w:after="0" w:line="15" w:lineRule="exact"/>
        <w:rPr>
          <w:rFonts w:ascii="Times New Roman" w:cs="Times New Roman" w:eastAsia="Times New Roman" w:hAnsi="Times New Roman"/>
          <w:sz w:val="18"/>
          <w:szCs w:val="18"/>
          <w:color w:val="auto"/>
        </w:rPr>
      </w:pPr>
    </w:p>
    <w:p>
      <w:pPr>
        <w:ind w:right="40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of the future net sales of obefazimod (worldwide and for all indications). The amount of royalties that may be paid under the royalty certificates is capped at €172.1 million in the aggregate. The royalty certificates were repurchased by the Group on May 7, 2026 and subsequently cancelled (see Note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9780"/>
          </w:cols>
          <w:pgMar w:left="1080" w:top="1440" w:right="1039" w:bottom="1440" w:gutter="0" w:footer="0" w:header="0"/>
        </w:sectPr>
      </w:pPr>
    </w:p>
    <w:bookmarkStart w:id="46" w:name="page47"/>
    <w:bookmarkEnd w:id="46"/>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16. Retirement benefit obligations</w:t>
      </w:r>
    </w:p>
    <w:p>
      <w:pPr>
        <w:spacing w:after="0" w:line="148" w:lineRule="exact"/>
        <w:rPr>
          <w:sz w:val="20"/>
          <w:szCs w:val="20"/>
          <w:color w:val="auto"/>
        </w:rPr>
      </w:pPr>
    </w:p>
    <w:p>
      <w:pPr>
        <w:jc w:val="both"/>
        <w:ind w:left="120" w:right="520"/>
        <w:spacing w:after="0" w:line="289" w:lineRule="auto"/>
        <w:rPr>
          <w:sz w:val="20"/>
          <w:szCs w:val="20"/>
          <w:color w:val="auto"/>
        </w:rPr>
      </w:pPr>
      <w:r>
        <w:rPr>
          <w:rFonts w:ascii="Times New Roman" w:cs="Times New Roman" w:eastAsia="Times New Roman" w:hAnsi="Times New Roman"/>
          <w:sz w:val="17"/>
          <w:szCs w:val="17"/>
          <w:color w:val="231F20"/>
        </w:rPr>
        <w:t xml:space="preserve">Retirement benefit obligations include the liability for the defined benefit plan, measured based on the provisions stipulated under the applicable collective agreements, i.e. the French pharmaceutical industry’s collective agreement. This commitment only applies to employees subject to French law. </w:t>
      </w:r>
      <w:r>
        <w:rPr>
          <w:rFonts w:ascii="Times New Roman" w:cs="Times New Roman" w:eastAsia="Times New Roman" w:hAnsi="Times New Roman"/>
          <w:sz w:val="17"/>
          <w:szCs w:val="17"/>
          <w:color w:val="000000"/>
        </w:rPr>
        <w:t>Employees in the U.S. benefit from defined contribution plans (401(k)).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17. Payables, other current liabilities and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17.1. Trade payables and other current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Trade payables and other current liabilities break down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ind w:left="136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81"/>
        </w:trPr>
        <w:tc>
          <w:tcPr>
            <w:tcW w:w="4600" w:type="dxa"/>
            <w:vAlign w:val="bottom"/>
          </w:tcPr>
          <w:p>
            <w:pPr>
              <w:spacing w:after="0"/>
              <w:rPr>
                <w:sz w:val="7"/>
                <w:szCs w:val="7"/>
                <w:color w:val="auto"/>
              </w:rPr>
            </w:pPr>
          </w:p>
        </w:tc>
        <w:tc>
          <w:tcPr>
            <w:tcW w:w="1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6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4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96"/>
        </w:trPr>
        <w:tc>
          <w:tcPr>
            <w:tcW w:w="4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TRADE PAYABLES AND OTHER CURRENT LIABILITIES</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600" w:type="dxa"/>
            <w:vAlign w:val="bottom"/>
            <w:tcBorders>
              <w:bottom w:val="single" w:sz="8" w:color="CCEEFF"/>
            </w:tcBorders>
            <w:vMerge w:val="continue"/>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Trade payables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23,388</w:t>
            </w: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9,961</w:t>
            </w:r>
          </w:p>
        </w:tc>
        <w:tc>
          <w:tcPr>
            <w:tcW w:w="0" w:type="dxa"/>
            <w:vAlign w:val="bottom"/>
          </w:tcPr>
          <w:p>
            <w:pPr>
              <w:spacing w:after="0"/>
              <w:rPr>
                <w:sz w:val="1"/>
                <w:szCs w:val="1"/>
                <w:color w:val="auto"/>
              </w:rPr>
            </w:pPr>
          </w:p>
        </w:tc>
      </w:tr>
      <w:tr>
        <w:trPr>
          <w:trHeight w:val="193"/>
        </w:trPr>
        <w:tc>
          <w:tcPr>
            <w:tcW w:w="4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Accrued invoices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14,159</w:t>
            </w: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19,553</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46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Trade payables and other current liabilities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37,552</w:t>
            </w:r>
          </w:p>
        </w:tc>
        <w:tc>
          <w:tcPr>
            <w:tcW w:w="6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29,514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120" w:right="760"/>
        <w:spacing w:after="0" w:line="312" w:lineRule="auto"/>
        <w:rPr>
          <w:sz w:val="20"/>
          <w:szCs w:val="20"/>
          <w:color w:val="auto"/>
        </w:rPr>
      </w:pPr>
      <w:r>
        <w:rPr>
          <w:rFonts w:ascii="Times New Roman" w:cs="Times New Roman" w:eastAsia="Times New Roman" w:hAnsi="Times New Roman"/>
          <w:sz w:val="17"/>
          <w:szCs w:val="17"/>
          <w:color w:val="auto"/>
        </w:rPr>
        <w:t>The decrease in Trade payables as of March 31, 2026 compared to December 31, 2025 is mainly attributable to decreased activity on the ABTECT clinical program as a result of reaching major milestones in the Phase 3 clinical trials in 2025.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17.2. Tax and employee-related payables</w:t>
      </w:r>
    </w:p>
    <w:p>
      <w:pPr>
        <w:spacing w:after="0" w:line="1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Tax and employee-related payables are presented below:</w:t>
      </w:r>
    </w:p>
    <w:p>
      <w:pPr>
        <w:spacing w:after="0" w:line="25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AS OF</w:t>
            </w:r>
          </w:p>
        </w:tc>
        <w:tc>
          <w:tcPr>
            <w:tcW w:w="1440" w:type="dxa"/>
            <w:vAlign w:val="bottom"/>
            <w:vMerge w:val="restart"/>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95"/>
        </w:trPr>
        <w:tc>
          <w:tcPr>
            <w:tcW w:w="4600" w:type="dxa"/>
            <w:vAlign w:val="bottom"/>
          </w:tcPr>
          <w:p>
            <w:pPr>
              <w:spacing w:after="0"/>
              <w:rPr>
                <w:sz w:val="8"/>
                <w:szCs w:val="8"/>
                <w:color w:val="auto"/>
              </w:rPr>
            </w:pPr>
          </w:p>
        </w:tc>
        <w:tc>
          <w:tcPr>
            <w:tcW w:w="15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6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44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0" w:type="dxa"/>
            <w:vAlign w:val="bottom"/>
          </w:tcPr>
          <w:p>
            <w:pPr>
              <w:spacing w:after="0"/>
              <w:rPr>
                <w:sz w:val="1"/>
                <w:szCs w:val="1"/>
                <w:color w:val="auto"/>
              </w:rPr>
            </w:pPr>
          </w:p>
        </w:tc>
      </w:tr>
      <w:tr>
        <w:trPr>
          <w:trHeight w:val="118"/>
        </w:trPr>
        <w:tc>
          <w:tcPr>
            <w:tcW w:w="4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TAX AND EMPLOYEE-RELATED PAYABLES</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600" w:type="dxa"/>
            <w:vAlign w:val="bottom"/>
            <w:tcBorders>
              <w:bottom w:val="single" w:sz="8" w:color="CCEEFF"/>
            </w:tcBorders>
            <w:vMerge w:val="continue"/>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Employee-related payables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0" w:type="dxa"/>
            <w:vAlign w:val="bottom"/>
          </w:tcPr>
          <w:p>
            <w:pPr>
              <w:spacing w:after="0"/>
              <w:rPr>
                <w:sz w:val="1"/>
                <w:szCs w:val="1"/>
                <w:color w:val="auto"/>
              </w:rPr>
            </w:pPr>
          </w:p>
        </w:tc>
      </w:tr>
      <w:tr>
        <w:trPr>
          <w:trHeight w:val="211"/>
        </w:trPr>
        <w:tc>
          <w:tcPr>
            <w:tcW w:w="4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Social security and other</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6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11,199</w:t>
            </w:r>
          </w:p>
        </w:tc>
        <w:tc>
          <w:tcPr>
            <w:tcW w:w="0" w:type="dxa"/>
            <w:vAlign w:val="bottom"/>
          </w:tcPr>
          <w:p>
            <w:pPr>
              <w:spacing w:after="0"/>
              <w:rPr>
                <w:sz w:val="1"/>
                <w:szCs w:val="1"/>
                <w:color w:val="auto"/>
              </w:rPr>
            </w:pPr>
          </w:p>
        </w:tc>
      </w:tr>
      <w:tr>
        <w:trPr>
          <w:trHeight w:val="221"/>
        </w:trPr>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tax and related payments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69"/>
        </w:trPr>
        <w:tc>
          <w:tcPr>
            <w:tcW w:w="46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TAX AND EMPLOYEE-RELATED PAYABLES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7,137</w:t>
            </w:r>
          </w:p>
        </w:tc>
        <w:tc>
          <w:tcPr>
            <w:tcW w:w="6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13,493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employee-related payables as of March 31, 2026 is mainly related to year-end bonus accruals.</w:t>
      </w:r>
    </w:p>
    <w:p>
      <w:pPr>
        <w:spacing w:after="0" w:line="212"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increase in Social security and other payables as of March 31, 2026 is mainly related to social contributions on vested AGAs that have become due, which are calculated using the vesting-date share price (see Note 14).</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17.3 Provisions</w:t>
      </w:r>
    </w:p>
    <w:p>
      <w:pPr>
        <w:sectPr>
          <w:pgSz w:w="11900" w:h="16838" w:orient="portrait"/>
          <w:cols w:equalWidth="0" w:num="1">
            <w:col w:w="9620"/>
          </w:cols>
          <w:pgMar w:left="1080" w:top="144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9620"/>
          </w:cols>
          <w:pgMar w:left="1080" w:top="1440" w:right="1199" w:bottom="1440" w:gutter="0" w:footer="0" w:header="0"/>
          <w:type w:val="continuous"/>
        </w:sectPr>
      </w:pPr>
    </w:p>
    <w:bookmarkStart w:id="47" w:name="page48"/>
    <w:bookmarkEnd w:id="47"/>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231F20"/>
        </w:rPr>
        <w:t>Provisions are presented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20" w:type="dxa"/>
            <w:vAlign w:val="bottom"/>
          </w:tcPr>
          <w:p>
            <w:pPr>
              <w:spacing w:after="0"/>
              <w:rPr>
                <w:sz w:val="16"/>
                <w:szCs w:val="16"/>
                <w:color w:val="auto"/>
              </w:rPr>
            </w:pPr>
          </w:p>
        </w:tc>
        <w:tc>
          <w:tcPr>
            <w:tcW w:w="1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AGA EMPLOYER</w:t>
            </w:r>
          </w:p>
        </w:tc>
        <w:tc>
          <w:tcPr>
            <w:tcW w:w="1540" w:type="dxa"/>
            <w:vAlign w:val="bottom"/>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1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(amounts in thousands of</w:t>
            </w:r>
          </w:p>
        </w:tc>
        <w:tc>
          <w:tcPr>
            <w:tcW w:w="16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5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9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54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92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euros)</w:t>
            </w:r>
          </w:p>
        </w:tc>
        <w:tc>
          <w:tcPr>
            <w:tcW w:w="16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AND TAXES</w:t>
            </w:r>
          </w:p>
        </w:tc>
        <w:tc>
          <w:tcPr>
            <w:tcW w:w="15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920" w:type="dxa"/>
            <w:vAlign w:val="bottom"/>
            <w:tcBorders>
              <w:bottom w:val="single" w:sz="8" w:color="auto"/>
            </w:tcBorders>
            <w:vMerge w:val="continue"/>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45,185</w:t>
            </w:r>
          </w:p>
        </w:tc>
        <w:tc>
          <w:tcPr>
            <w:tcW w:w="154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694</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45,879</w:t>
            </w:r>
          </w:p>
        </w:tc>
        <w:tc>
          <w:tcPr>
            <w:tcW w:w="0" w:type="dxa"/>
            <w:vAlign w:val="bottom"/>
          </w:tcPr>
          <w:p>
            <w:pPr>
              <w:spacing w:after="0"/>
              <w:rPr>
                <w:sz w:val="1"/>
                <w:szCs w:val="1"/>
                <w:color w:val="auto"/>
              </w:rPr>
            </w:pPr>
          </w:p>
        </w:tc>
      </w:tr>
      <w:tr>
        <w:trPr>
          <w:trHeight w:val="96"/>
        </w:trPr>
        <w:tc>
          <w:tcPr>
            <w:tcW w:w="19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0" w:type="dxa"/>
            <w:vAlign w:val="bottom"/>
            <w:vMerge w:val="continue"/>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20" w:type="dxa"/>
            <w:vAlign w:val="bottom"/>
            <w:tcBorders>
              <w:bottom w:val="single" w:sz="8" w:color="auto"/>
            </w:tcBorders>
            <w:vMerge w:val="continue"/>
            <w:shd w:val="clear" w:color="auto" w:fill="CCEEFF"/>
          </w:tcPr>
          <w:p>
            <w:pPr>
              <w:spacing w:after="0"/>
              <w:rPr>
                <w:sz w:val="7"/>
                <w:szCs w:val="7"/>
                <w:color w:val="auto"/>
              </w:rPr>
            </w:pPr>
          </w:p>
        </w:tc>
        <w:tc>
          <w:tcPr>
            <w:tcW w:w="1600" w:type="dxa"/>
            <w:vAlign w:val="bottom"/>
            <w:tcBorders>
              <w:bottom w:val="single" w:sz="8" w:color="auto"/>
            </w:tcBorders>
            <w:shd w:val="clear" w:color="auto" w:fill="CCEEFF"/>
          </w:tcPr>
          <w:p>
            <w:pPr>
              <w:spacing w:after="0"/>
              <w:rPr>
                <w:sz w:val="7"/>
                <w:szCs w:val="7"/>
                <w:color w:val="auto"/>
              </w:rPr>
            </w:pPr>
          </w:p>
        </w:tc>
        <w:tc>
          <w:tcPr>
            <w:tcW w:w="1540" w:type="dxa"/>
            <w:vAlign w:val="bottom"/>
            <w:tcBorders>
              <w:bottom w:val="single" w:sz="8" w:color="auto"/>
            </w:tcBorders>
            <w:shd w:val="clear" w:color="auto" w:fill="CCEEFF"/>
          </w:tcPr>
          <w:p>
            <w:pPr>
              <w:spacing w:after="0"/>
              <w:rPr>
                <w:sz w:val="7"/>
                <w:szCs w:val="7"/>
                <w:color w:val="auto"/>
              </w:rPr>
            </w:pPr>
          </w:p>
        </w:tc>
        <w:tc>
          <w:tcPr>
            <w:tcW w:w="12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Increases</w:t>
            </w:r>
          </w:p>
        </w:tc>
        <w:tc>
          <w:tcPr>
            <w:tcW w:w="1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70</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Provisions used</w:t>
            </w:r>
          </w:p>
        </w:tc>
        <w:tc>
          <w:tcPr>
            <w:tcW w:w="16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(8,325)</w:t>
            </w:r>
          </w:p>
        </w:tc>
        <w:tc>
          <w:tcPr>
            <w:tcW w:w="15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(563)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w:t>
            </w:r>
          </w:p>
        </w:tc>
        <w:tc>
          <w:tcPr>
            <w:tcW w:w="0" w:type="dxa"/>
            <w:vAlign w:val="bottom"/>
          </w:tcPr>
          <w:p>
            <w:pPr>
              <w:spacing w:after="0"/>
              <w:rPr>
                <w:sz w:val="1"/>
                <w:szCs w:val="1"/>
                <w:color w:val="auto"/>
              </w:rPr>
            </w:pPr>
          </w:p>
        </w:tc>
      </w:tr>
      <w:tr>
        <w:trPr>
          <w:trHeight w:val="216"/>
        </w:trPr>
        <w:tc>
          <w:tcPr>
            <w:tcW w:w="1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Unused reversals</w:t>
            </w:r>
          </w:p>
        </w:tc>
        <w:tc>
          <w:tcPr>
            <w:tcW w:w="1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(3,394)</w:t>
            </w:r>
          </w:p>
        </w:tc>
        <w:tc>
          <w:tcPr>
            <w:tcW w:w="15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(51)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(3,445)</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33,467</w:t>
            </w:r>
          </w:p>
        </w:tc>
        <w:tc>
          <w:tcPr>
            <w:tcW w:w="154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150</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33,616</w:t>
            </w:r>
          </w:p>
        </w:tc>
        <w:tc>
          <w:tcPr>
            <w:tcW w:w="0" w:type="dxa"/>
            <w:vAlign w:val="bottom"/>
          </w:tcPr>
          <w:p>
            <w:pPr>
              <w:spacing w:after="0"/>
              <w:rPr>
                <w:sz w:val="1"/>
                <w:szCs w:val="1"/>
                <w:color w:val="auto"/>
              </w:rPr>
            </w:pPr>
          </w:p>
        </w:tc>
      </w:tr>
      <w:tr>
        <w:trPr>
          <w:trHeight w:val="96"/>
        </w:trPr>
        <w:tc>
          <w:tcPr>
            <w:tcW w:w="19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0" w:type="dxa"/>
            <w:vAlign w:val="bottom"/>
            <w:vMerge w:val="continue"/>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20" w:type="dxa"/>
            <w:vAlign w:val="bottom"/>
            <w:tcBorders>
              <w:bottom w:val="single" w:sz="8" w:color="auto"/>
            </w:tcBorders>
            <w:vMerge w:val="continue"/>
            <w:shd w:val="clear" w:color="auto" w:fill="CCEEFF"/>
          </w:tcPr>
          <w:p>
            <w:pPr>
              <w:spacing w:after="0"/>
              <w:rPr>
                <w:sz w:val="7"/>
                <w:szCs w:val="7"/>
                <w:color w:val="auto"/>
              </w:rPr>
            </w:pPr>
          </w:p>
        </w:tc>
        <w:tc>
          <w:tcPr>
            <w:tcW w:w="1600" w:type="dxa"/>
            <w:vAlign w:val="bottom"/>
            <w:tcBorders>
              <w:bottom w:val="single" w:sz="8" w:color="auto"/>
            </w:tcBorders>
            <w:shd w:val="clear" w:color="auto" w:fill="CCEEFF"/>
          </w:tcPr>
          <w:p>
            <w:pPr>
              <w:spacing w:after="0"/>
              <w:rPr>
                <w:sz w:val="7"/>
                <w:szCs w:val="7"/>
                <w:color w:val="auto"/>
              </w:rPr>
            </w:pPr>
          </w:p>
        </w:tc>
        <w:tc>
          <w:tcPr>
            <w:tcW w:w="1540" w:type="dxa"/>
            <w:vAlign w:val="bottom"/>
            <w:tcBorders>
              <w:bottom w:val="single" w:sz="8" w:color="auto"/>
            </w:tcBorders>
            <w:shd w:val="clear" w:color="auto" w:fill="CCEEFF"/>
          </w:tcPr>
          <w:p>
            <w:pPr>
              <w:spacing w:after="0"/>
              <w:rPr>
                <w:sz w:val="7"/>
                <w:szCs w:val="7"/>
                <w:color w:val="auto"/>
              </w:rPr>
            </w:pPr>
          </w:p>
        </w:tc>
        <w:tc>
          <w:tcPr>
            <w:tcW w:w="12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Non-current</w:t>
            </w:r>
          </w:p>
        </w:tc>
        <w:tc>
          <w:tcPr>
            <w:tcW w:w="1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15,471</w:t>
            </w:r>
          </w:p>
        </w:tc>
        <w:tc>
          <w:tcPr>
            <w:tcW w:w="15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15,491</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Current</w:t>
            </w:r>
          </w:p>
        </w:tc>
        <w:tc>
          <w:tcPr>
            <w:tcW w:w="16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17,995</w:t>
            </w:r>
          </w:p>
        </w:tc>
        <w:tc>
          <w:tcPr>
            <w:tcW w:w="15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130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18,125</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Group's provisions as of March 31, 2026 primarily consist of AGA employer contributions and taxes. Movements during the period were as follows:</w:t>
      </w:r>
    </w:p>
    <w:p>
      <w:pPr>
        <w:spacing w:after="0" w:line="149" w:lineRule="exact"/>
        <w:rPr>
          <w:sz w:val="20"/>
          <w:szCs w:val="20"/>
          <w:color w:val="auto"/>
        </w:rPr>
      </w:pPr>
    </w:p>
    <w:p>
      <w:pPr>
        <w:ind w:left="660" w:hanging="33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used correspond to social contributions on vested AGAs that have become due;</w:t>
      </w:r>
    </w:p>
    <w:p>
      <w:pPr>
        <w:spacing w:after="0" w:line="198" w:lineRule="exact"/>
        <w:rPr>
          <w:rFonts w:ascii="Times New Roman" w:cs="Times New Roman" w:eastAsia="Times New Roman" w:hAnsi="Times New Roman"/>
          <w:sz w:val="18"/>
          <w:szCs w:val="18"/>
          <w:color w:val="auto"/>
        </w:rPr>
      </w:pPr>
    </w:p>
    <w:p>
      <w:pPr>
        <w:ind w:left="660" w:right="120" w:hanging="332"/>
        <w:spacing w:after="0" w:line="24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unused reversals are related to (i) the decrease in the Group's share price over the period and, to a lesser extent, (ii) forfeitures following employee departures and changes in estimates regarding the achievement of performance conditions. The amount is presented net of the accrual of obligations arising from services rendered during the period under the relevant AGA plans.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provisions primarily relate to employment-related claims or other minor litigation matters.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Operating income</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Operating income is composed as below:</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280" w:type="dxa"/>
            <w:vAlign w:val="bottom"/>
          </w:tcPr>
          <w:p>
            <w:pPr>
              <w:ind w:left="7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w:t>
            </w:r>
          </w:p>
        </w:tc>
        <w:tc>
          <w:tcPr>
            <w:tcW w:w="0" w:type="dxa"/>
            <w:vAlign w:val="bottom"/>
          </w:tcPr>
          <w:p>
            <w:pPr>
              <w:spacing w:after="0"/>
              <w:rPr>
                <w:sz w:val="1"/>
                <w:szCs w:val="1"/>
                <w:color w:val="auto"/>
              </w:rPr>
            </w:pPr>
          </w:p>
        </w:tc>
      </w:tr>
      <w:tr>
        <w:trPr>
          <w:trHeight w:val="175"/>
        </w:trPr>
        <w:tc>
          <w:tcPr>
            <w:tcW w:w="3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96"/>
        </w:trPr>
        <w:tc>
          <w:tcPr>
            <w:tcW w:w="3280" w:type="dxa"/>
            <w:vAlign w:val="bottom"/>
            <w:vMerge w:val="continue"/>
          </w:tcPr>
          <w:p>
            <w:pPr>
              <w:spacing w:after="0"/>
              <w:rPr>
                <w:sz w:val="8"/>
                <w:szCs w:val="8"/>
                <w:color w:val="auto"/>
              </w:rPr>
            </w:pP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80"/>
        </w:trPr>
        <w:tc>
          <w:tcPr>
            <w:tcW w:w="32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50"/>
        </w:trPr>
        <w:tc>
          <w:tcPr>
            <w:tcW w:w="328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Research tax credit ("CIR")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0" w:type="dxa"/>
            <w:vAlign w:val="bottom"/>
          </w:tcPr>
          <w:p>
            <w:pPr>
              <w:spacing w:after="0"/>
              <w:rPr>
                <w:sz w:val="1"/>
                <w:szCs w:val="1"/>
                <w:color w:val="auto"/>
              </w:rPr>
            </w:pPr>
          </w:p>
        </w:tc>
      </w:tr>
      <w:tr>
        <w:trPr>
          <w:trHeight w:val="211"/>
        </w:trPr>
        <w:tc>
          <w:tcPr>
            <w:tcW w:w="3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Depositary service fees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99"/>
        </w:trPr>
        <w:tc>
          <w:tcPr>
            <w:tcW w:w="3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operating income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994</w:t>
            </w:r>
          </w:p>
        </w:tc>
        <w:tc>
          <w:tcPr>
            <w:tcW w:w="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tax credit (“CIR”)</w:t>
      </w:r>
    </w:p>
    <w:p>
      <w:pPr>
        <w:spacing w:after="0" w:line="20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Group carries out research and development projects. As such, it has benefited from a research tax credit for the three-month periods ended March 31, 2025 and 2026 for an amount of €970 thousand and €1,139 thousand, respectively.</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Depositary services fees</w:t>
      </w:r>
    </w:p>
    <w:p>
      <w:pPr>
        <w:spacing w:after="0" w:line="20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line item includes issuance, cancellation and depositary service fees collected from ADS holders by Citibank, who is acting as the Group's exclusive depositary for its publicly listed ADSs. As part of the depositary agreement between Citibank and the Group, the latter is entitled to receive a portion of the aforementioned fees collected by Citibank.</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ectPr>
          <w:pgSz w:w="11900" w:h="16838" w:orient="portrait"/>
          <w:cols w:equalWidth="0" w:num="1">
            <w:col w:w="9720"/>
          </w:cols>
          <w:pgMar w:left="1080" w:top="1440" w:right="1099" w:bottom="1440" w:gutter="0" w:footer="0" w:header="0"/>
          <w:type w:val="continuous"/>
        </w:sectPr>
      </w:pPr>
    </w:p>
    <w:bookmarkStart w:id="48" w:name="page49"/>
    <w:bookmarkEnd w:id="48"/>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19. Operating expenses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19.1. Sales and marketing</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ind w:left="38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90"/>
        </w:trPr>
        <w:tc>
          <w:tcPr>
            <w:tcW w:w="264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w:t>
            </w:r>
          </w:p>
        </w:tc>
      </w:tr>
      <w:tr>
        <w:trPr>
          <w:trHeight w:val="162"/>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SALES AND MARKETING</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90"/>
        </w:trPr>
        <w:tc>
          <w:tcPr>
            <w:tcW w:w="264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13"/>
        </w:trPr>
        <w:tc>
          <w:tcPr>
            <w:tcW w:w="26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196"/>
        </w:trPr>
        <w:tc>
          <w:tcPr>
            <w:tcW w:w="2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Personnel costs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r>
      <w:tr>
        <w:trPr>
          <w:trHeight w:val="211"/>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Consulting and professional fees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216"/>
        </w:trPr>
        <w:tc>
          <w:tcPr>
            <w:tcW w:w="2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sales and marketing expenses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6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74"/>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Sales &amp; Marketing</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860</w:t>
            </w:r>
          </w:p>
        </w:tc>
        <w:tc>
          <w:tcPr>
            <w:tcW w:w="6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1,748</w:t>
            </w:r>
          </w:p>
        </w:tc>
      </w:tr>
      <w:tr>
        <w:trPr>
          <w:trHeight w:val="20"/>
        </w:trPr>
        <w:tc>
          <w:tcPr>
            <w:tcW w:w="2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increase in sales and marketing personnel costs for the three-month period ended March 31, 2026 compared to March 31, 2025 was predominantly driven by the increase in the Group's costs related to the preparation for potential future sales and commercialization efforts of obefazimod in the U.S.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19.2. Research and development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break down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ind w:left="4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1"/>
        </w:trPr>
        <w:tc>
          <w:tcPr>
            <w:tcW w:w="2700" w:type="dxa"/>
            <w:vAlign w:val="bottom"/>
          </w:tcPr>
          <w:p>
            <w:pPr>
              <w:spacing w:after="0"/>
              <w:rPr>
                <w:sz w:val="17"/>
                <w:szCs w:val="17"/>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62"/>
        </w:trPr>
        <w:tc>
          <w:tcPr>
            <w:tcW w:w="270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w:t>
            </w:r>
          </w:p>
        </w:tc>
      </w:tr>
      <w:tr>
        <w:trPr>
          <w:trHeight w:val="175"/>
        </w:trPr>
        <w:tc>
          <w:tcPr>
            <w:tcW w:w="27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RESEARCH AND DEVELOPMENT</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75"/>
        </w:trPr>
        <w:tc>
          <w:tcPr>
            <w:tcW w:w="27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75"/>
        </w:trPr>
        <w:tc>
          <w:tcPr>
            <w:tcW w:w="2700" w:type="dxa"/>
            <w:vAlign w:val="bottom"/>
          </w:tcPr>
          <w:p>
            <w:pPr>
              <w:spacing w:after="0"/>
              <w:rPr>
                <w:sz w:val="15"/>
                <w:szCs w:val="15"/>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27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3"/>
        </w:trPr>
        <w:tc>
          <w:tcPr>
            <w:tcW w:w="2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Sub-contracting, studies and research</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29,153</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19,795</w:t>
            </w:r>
          </w:p>
        </w:tc>
      </w:tr>
      <w:tr>
        <w:trPr>
          <w:trHeight w:val="216"/>
        </w:trPr>
        <w:tc>
          <w:tcPr>
            <w:tcW w:w="2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Personnel costs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5,368</w:t>
            </w: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24,395</w:t>
            </w:r>
          </w:p>
        </w:tc>
      </w:tr>
      <w:tr>
        <w:trPr>
          <w:trHeight w:val="216"/>
        </w:trPr>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Consulting and professional fees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3,981</w:t>
            </w: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w:t>
            </w:r>
          </w:p>
        </w:tc>
      </w:tr>
      <w:tr>
        <w:trPr>
          <w:trHeight w:val="216"/>
        </w:trPr>
        <w:tc>
          <w:tcPr>
            <w:tcW w:w="2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Intellectual property fees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16"/>
        </w:trPr>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research and development expenses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r>
      <w:tr>
        <w:trPr>
          <w:trHeight w:val="169"/>
        </w:trPr>
        <w:tc>
          <w:tcPr>
            <w:tcW w:w="27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39,301</w:t>
            </w:r>
          </w:p>
        </w:tc>
        <w:tc>
          <w:tcPr>
            <w:tcW w:w="4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49,542</w:t>
            </w:r>
          </w:p>
        </w:tc>
      </w:tr>
      <w:tr>
        <w:trPr>
          <w:trHeight w:val="21"/>
        </w:trPr>
        <w:tc>
          <w:tcPr>
            <w:tcW w:w="2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three-month period ended March 31, 2026 compared to March 31, 2025 is primarily due to increasing personnel costs, mainly due to expense recognized in relation to the accelerated vesting of certain of the Group's former Chief Scientific Officer's AGA plans (see Note 14) as well as the impact of share-based compensation plans granted in 2025. This increase was partly offset by a decrease in sub-contracting, studies and research expenses related to our UC program, attributable to decreased activity on our ABTECT clinical program as a result of reaching major milestones in the Phase 3 clinical trials in 2025.</w:t>
      </w:r>
    </w:p>
    <w:p>
      <w:pPr>
        <w:sectPr>
          <w:pgSz w:w="11900" w:h="16838" w:orient="portrait"/>
          <w:cols w:equalWidth="0" w:num="1">
            <w:col w:w="9480"/>
          </w:cols>
          <w:pgMar w:left="1080" w:top="144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9480"/>
          </w:cols>
          <w:pgMar w:left="1080" w:top="1440" w:right="1339" w:bottom="1440" w:gutter="0" w:footer="0" w:header="0"/>
          <w:type w:val="continuous"/>
        </w:sectPr>
      </w:pPr>
    </w:p>
    <w:bookmarkStart w:id="49" w:name="page50"/>
    <w:bookmarkEnd w:id="49"/>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19.3. General and administrative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8"/>
        </w:trPr>
        <w:tc>
          <w:tcPr>
            <w:tcW w:w="280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FOR THE</w:t>
            </w:r>
          </w:p>
        </w:tc>
        <w:tc>
          <w:tcPr>
            <w:tcW w:w="6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FOR THE</w:t>
            </w:r>
          </w:p>
        </w:tc>
      </w:tr>
      <w:tr>
        <w:trPr>
          <w:trHeight w:val="175"/>
        </w:trPr>
        <w:tc>
          <w:tcPr>
            <w:tcW w:w="280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w:t>
            </w:r>
          </w:p>
        </w:tc>
      </w:tr>
      <w:tr>
        <w:trPr>
          <w:trHeight w:val="162"/>
        </w:trPr>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AND ADMINISTRATIVE</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75"/>
        </w:trPr>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76"/>
        </w:trPr>
        <w:tc>
          <w:tcPr>
            <w:tcW w:w="280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28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01"/>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Personnel costs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r>
      <w:tr>
        <w:trPr>
          <w:trHeight w:val="211"/>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Consulting and professional fees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w:t>
            </w:r>
          </w:p>
        </w:tc>
      </w:tr>
      <w:tr>
        <w:trPr>
          <w:trHeight w:val="221"/>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r>
      <w:tr>
        <w:trPr>
          <w:trHeight w:val="169"/>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General and administrative expenses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8,033</w:t>
            </w:r>
          </w:p>
        </w:tc>
        <w:tc>
          <w:tcPr>
            <w:tcW w:w="6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6,283</w:t>
            </w:r>
          </w:p>
        </w:tc>
      </w:tr>
      <w:tr>
        <w:trPr>
          <w:trHeight w:val="20"/>
        </w:trPr>
        <w:tc>
          <w:tcPr>
            <w:tcW w:w="2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general and administrative expenses for the three-month period ended March 31, 2026 was primarily due to a decrease in personnel costs, mainly due to a decrease in AGAs employer tax and social contributions of (3,476) thousand, resulting primarily from (i) the decrease in the Group's share price during the first quarter of 2026 and, to a lesser extent, (ii) forfeitures following employee departures and changes in estimates regarding the achievement of vesting conditions (see Notes 14 and 17.3).</w:t>
      </w:r>
    </w:p>
    <w:p>
      <w:pPr>
        <w:spacing w:after="0" w:line="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The decrease was partly offset by an increase in consulting and professional fees , driven by increased costs associated with building the Group's infrastructure to support future growth in its operations and other general and administrative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Employees</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The Group’s average workforce during the periods ended March 31, 2025 and 2026 was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660" w:type="dxa"/>
            <w:vAlign w:val="bottom"/>
          </w:tcPr>
          <w:p>
            <w:pPr>
              <w:spacing w:after="0"/>
              <w:rPr>
                <w:sz w:val="15"/>
                <w:szCs w:val="15"/>
                <w:color w:val="auto"/>
              </w:rPr>
            </w:pPr>
          </w:p>
        </w:tc>
        <w:tc>
          <w:tcPr>
            <w:tcW w:w="14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w:t>
            </w:r>
          </w:p>
        </w:tc>
      </w:tr>
      <w:tr>
        <w:trPr>
          <w:trHeight w:val="162"/>
        </w:trPr>
        <w:tc>
          <w:tcPr>
            <w:tcW w:w="1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HEADCOUNT</w:t>
            </w:r>
          </w:p>
        </w:tc>
        <w:tc>
          <w:tcPr>
            <w:tcW w:w="14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87"/>
        </w:trPr>
        <w:tc>
          <w:tcPr>
            <w:tcW w:w="16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96"/>
        </w:trPr>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France</w:t>
            </w: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42</w:t>
            </w:r>
          </w:p>
        </w:tc>
        <w:tc>
          <w:tcPr>
            <w:tcW w:w="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11"/>
        </w:trPr>
        <w:tc>
          <w:tcPr>
            <w:tcW w:w="1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United States</w:t>
            </w:r>
          </w:p>
        </w:tc>
        <w:tc>
          <w:tcPr>
            <w:tcW w:w="1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27</w:t>
            </w:r>
          </w:p>
        </w:tc>
        <w:tc>
          <w:tcPr>
            <w:tcW w:w="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9"/>
        </w:trPr>
        <w:tc>
          <w:tcPr>
            <w:tcW w:w="1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69</w:t>
            </w:r>
          </w:p>
        </w:tc>
        <w:tc>
          <w:tcPr>
            <w:tcW w:w="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Financial gain (loss)</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The financial loss breaks down as follows: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9720"/>
          </w:cols>
          <w:pgMar w:left="1080" w:top="1440" w:right="1099" w:bottom="1440" w:gutter="0" w:footer="0" w:header="0"/>
          <w:type w:val="continuous"/>
        </w:sectPr>
      </w:pPr>
    </w:p>
    <w:bookmarkStart w:id="50" w:name="page51"/>
    <w:bookmarkEnd w:id="50"/>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90"/>
        </w:trPr>
        <w:tc>
          <w:tcPr>
            <w:tcW w:w="3440" w:type="dxa"/>
            <w:vAlign w:val="bottom"/>
          </w:tcPr>
          <w:p>
            <w:pPr>
              <w:ind w:left="8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344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90"/>
        </w:trPr>
        <w:tc>
          <w:tcPr>
            <w:tcW w:w="34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FINANCIAL GAIN (LOSS)</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85"/>
        </w:trPr>
        <w:tc>
          <w:tcPr>
            <w:tcW w:w="344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on bond loans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on convertible loan notes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on PGE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on royalty certificates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1"/>
        </w:trPr>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(Increase) / decrease in derivatives fair value</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Increase / (decrease) in other liabilities / (assets) at fair</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6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4"/>
        </w:trPr>
        <w:tc>
          <w:tcPr>
            <w:tcW w:w="34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value through profit and loss</w:t>
            </w:r>
          </w:p>
        </w:tc>
        <w:tc>
          <w:tcPr>
            <w:tcW w:w="134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440" w:type="dxa"/>
            <w:vAlign w:val="bottom"/>
            <w:vMerge w:val="continue"/>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Foreign exchange losses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financial expense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(6,723)</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(4,769)</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income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229"/>
        </w:trPr>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(Increase) / decrease in derivatives fair value</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Increase / (decrease) in other liabilities (assets) at fair</w:t>
            </w:r>
          </w:p>
        </w:tc>
        <w:tc>
          <w:tcPr>
            <w:tcW w:w="1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0" w:type="dxa"/>
            <w:vAlign w:val="bottom"/>
          </w:tcPr>
          <w:p>
            <w:pPr>
              <w:spacing w:after="0"/>
              <w:rPr>
                <w:sz w:val="1"/>
                <w:szCs w:val="1"/>
                <w:color w:val="auto"/>
              </w:rPr>
            </w:pPr>
          </w:p>
        </w:tc>
      </w:tr>
      <w:tr>
        <w:trPr>
          <w:trHeight w:val="129"/>
        </w:trPr>
        <w:tc>
          <w:tcPr>
            <w:tcW w:w="34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value through profit and loss</w:t>
            </w:r>
          </w:p>
        </w:tc>
        <w:tc>
          <w:tcPr>
            <w:tcW w:w="1400" w:type="dxa"/>
            <w:vAlign w:val="bottom"/>
            <w:gridSpan w:val="2"/>
            <w:vMerge w:val="continue"/>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3440" w:type="dxa"/>
            <w:vAlign w:val="bottom"/>
            <w:vMerge w:val="continue"/>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Effect of unwinding the discount related to advances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07"/>
        </w:trPr>
        <w:tc>
          <w:tcPr>
            <w:tcW w:w="34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made to CROs</w:t>
            </w:r>
          </w:p>
        </w:tc>
        <w:tc>
          <w:tcPr>
            <w:tcW w:w="13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4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Day-one gain on recognition of financial liabilities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Foreign exchange gains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8,715</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financial income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6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1,552</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12,759</w:t>
            </w:r>
          </w:p>
        </w:tc>
        <w:tc>
          <w:tcPr>
            <w:tcW w:w="0" w:type="dxa"/>
            <w:vAlign w:val="bottom"/>
          </w:tcPr>
          <w:p>
            <w:pPr>
              <w:spacing w:after="0"/>
              <w:rPr>
                <w:sz w:val="1"/>
                <w:szCs w:val="1"/>
                <w:color w:val="auto"/>
              </w:rPr>
            </w:pPr>
          </w:p>
        </w:tc>
      </w:tr>
      <w:tr>
        <w:trPr>
          <w:trHeight w:val="199"/>
        </w:trPr>
        <w:tc>
          <w:tcPr>
            <w:tcW w:w="3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 gain (loss)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(5,170)</w:t>
            </w:r>
          </w:p>
        </w:tc>
        <w:tc>
          <w:tcPr>
            <w:tcW w:w="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7,989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expenses</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on bond loans consists of interests from the Kreos / Claret B and C tranches (non-convertible bonds), drawn down in March and June 2024, respectively, and redeemed in December 2025 (see Note 15.1).</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Interest on convertible loan notes for the three-month period ended March 31, 2025 corresponds to interests from the Kreos / Claret OCABSA (tranche A) and from the Heights notes, which were converted into ordinary shares of the Group during the second half of 2025 (see Notes 15.1 and 15.2).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royalty certificates are detailed in Notes 15.5 and 15.7.</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Increases and decreases in the fair value of derivatives for the three-month period ended March 31, 2025 relate to the Kreos / Claret BSA and MRI and are detailed in Notes 15.1, 15.2 and 15.7.</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increase in other liabilities at FVTPL mainly relate to the Heights notes for the three-month period ended March 31, 2025 (see Note 15.2).</w:t>
      </w:r>
    </w:p>
    <w:p>
      <w:pPr>
        <w:spacing w:after="0" w:line="1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Foreign exchange losses for the three-month period ended March 31, 2025 relate to the translation of cash and cash equivalents held in U.S. dollars into the Group's presentation currency as of March 31, 2025, resulting in a loss of €447 thousand, and to other realized and unrealized losses on foreign exchange transactions.</w:t>
      </w:r>
    </w:p>
    <w:p>
      <w:pPr>
        <w:spacing w:after="0" w:line="17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Foreign exchange losses for the three-month period ended March 31, 2026 relate to an intercompany payable with the Subsidiary denominated in U.S. dollars, which settlement resulted in a net loss of €1,835 thousand, and to other realized and unrealized losses on foreign exchange transactions (see Note 11).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w:t>
      </w:r>
    </w:p>
    <w:p>
      <w:pPr>
        <w:sectPr>
          <w:pgSz w:w="11900" w:h="16838" w:orient="portrait"/>
          <w:cols w:equalWidth="0" w:num="1">
            <w:col w:w="9700"/>
          </w:cols>
          <w:pgMar w:left="108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9700"/>
          </w:cols>
          <w:pgMar w:left="1080" w:top="1440" w:right="1119" w:bottom="1440" w:gutter="0" w:footer="0" w:header="0"/>
          <w:type w:val="continuous"/>
        </w:sectPr>
      </w:pPr>
    </w:p>
    <w:bookmarkStart w:id="51" w:name="page52"/>
    <w:bookmarkEnd w:id="51"/>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40"/>
        <w:spacing w:after="0" w:line="258" w:lineRule="auto"/>
        <w:rPr>
          <w:sz w:val="20"/>
          <w:szCs w:val="20"/>
          <w:color w:val="auto"/>
        </w:rPr>
      </w:pPr>
      <w:r>
        <w:rPr>
          <w:rFonts w:ascii="Times New Roman" w:cs="Times New Roman" w:eastAsia="Times New Roman" w:hAnsi="Times New Roman"/>
          <w:sz w:val="18"/>
          <w:szCs w:val="18"/>
          <w:color w:val="auto"/>
        </w:rPr>
        <w:t>Interest income mainly relates to proceeds invested in cash equivalents and other investments measured at amortized cost, while increases in assets measured at FVTPL mainly relate to proceeds invested in cash equivalents measured at FVTPL. These proceeds primarily originate from (i) the Group's initial public offering on the Nasdaq Global Market and the concurrent European Private Placement from October 2023, (ii) the Kreos / Claret and Heights Financings and (iii) the Group's public Offering from July 2025 (see Note 11).</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Foreign exchange gains for the three-month period ended March 31, 2026 relate to (i) the revaluation of the intercompany current account with the Subsidiary denominated in U.S. dollars, resulting in a net gain of €5,912 thousand, (ii) the translation of cash and cash equivalents held in U.S. dollars into the Company's functional currency as of March 31, 2026, resulting in a net gain of €2,500 thousand (see Note 11), and (iii) other realized and unrealized gains on foreign exchange transactions.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Income tax</w:t>
      </w:r>
    </w:p>
    <w:p>
      <w:pPr>
        <w:spacing w:after="0" w:line="25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Group incurred tax losses in the current period and prior years. As the recoverability of these tax losses is not considered probable in subsequent periods due to the uncertainties inherent in the Group’s business, the Group has not recognized deferred tax assets beyond deferred tax liabilities arising within the same taxable entity under the same taxable regime and with consistent timing of reversal, after considering, if applicable, limitations in the use of deductible tax losses carried forward from prior periods applicable under tax laws in France and in the U.S.</w:t>
      </w:r>
    </w:p>
    <w:p>
      <w:pPr>
        <w:spacing w:after="0" w:line="19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three-month period ended March 31, 2026, the Group has used the effective tax rate for the interim period, which represents the best available estimate of the annual effective tax rate at this date.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March 31, 2026, the difference related to royalty certificates between (i) the amount already deemed deductible from the Company's taxable income as of March 31, 2026 (based on the certificates' fair value minus the subscription price) and (ii) the amount of the related financial liability recognized in the Group's Statements of Financial Position at that date (measured at amortized cost using the original EIR) results in a €17,383 thousand deferred tax liability.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March 31, 2026, the Group has re-assessed the expected reversal of temporary taxable and deductible differences existing at the reporting date. The timing of reversal of the taxable difference on royalty certificates was estimated under the same cash flow schedule and discount rate assumptions as the certificates' fair value as of March 31, 2026 (see Note 15.5).</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Based on this assessment, under the above recoverability assumption and after taking into account the limitations on the use of deductible tax losses carried forward in France, the Group determined that deferred tax assets amounting to €11,307 thousand could be recognized as it is anticipated that the related deductible temporary differences and losses carried forward will reverse and be utilized against future taxable temporary differences in the same periods in this jurisdiction.</w:t>
      </w:r>
    </w:p>
    <w:p>
      <w:pPr>
        <w:spacing w:after="0" w:line="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As a result, the net deferred tax position of the Group as of March 31, 2026 is a deferred tax liability of €6,076 thousand, relating to royalty certificates.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Loss per share</w:t>
      </w:r>
    </w:p>
    <w:p>
      <w:pPr>
        <w:spacing w:after="0" w:line="14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231F20"/>
        </w:rPr>
        <w:t>Basic loss per share is calculated by dividing income (loss) attributable to equity holders of the Company by the weighted-average number of outstanding ordinary shares for the period.</w:t>
      </w:r>
    </w:p>
    <w:p>
      <w:pPr>
        <w:spacing w:after="0" w:line="148" w:lineRule="exact"/>
        <w:rPr>
          <w:sz w:val="20"/>
          <w:szCs w:val="20"/>
          <w:color w:val="auto"/>
        </w:rPr>
      </w:pPr>
    </w:p>
    <w:p>
      <w:pPr>
        <w:ind w:right="1120"/>
        <w:spacing w:after="0" w:line="282" w:lineRule="auto"/>
        <w:rPr>
          <w:sz w:val="20"/>
          <w:szCs w:val="20"/>
          <w:color w:val="auto"/>
        </w:rPr>
      </w:pPr>
      <w:r>
        <w:rPr>
          <w:rFonts w:ascii="Times New Roman" w:cs="Times New Roman" w:eastAsia="Times New Roman" w:hAnsi="Times New Roman"/>
          <w:sz w:val="18"/>
          <w:szCs w:val="18"/>
          <w:color w:val="231F20"/>
        </w:rPr>
        <w:t>Diluted loss per share is calculated by adjusting the weighted average number of ordinary shares outstanding to assume conversion of all dilutive potential ordinary shares.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ectPr>
          <w:pgSz w:w="11900" w:h="16838" w:orient="portrait"/>
          <w:cols w:equalWidth="0" w:num="1">
            <w:col w:w="9720"/>
          </w:cols>
          <w:pgMar w:left="1080" w:top="1440" w:right="1099" w:bottom="1440" w:gutter="0" w:footer="0" w:header="0"/>
          <w:type w:val="continuous"/>
        </w:sectPr>
      </w:pPr>
    </w:p>
    <w:bookmarkStart w:id="52" w:name="page53"/>
    <w:bookmarkEnd w:id="52"/>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(amounts in thousands of euros, except share data)</w:t>
            </w: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3"/>
        </w:trPr>
        <w:tc>
          <w:tcPr>
            <w:tcW w:w="3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75"/>
        </w:trPr>
        <w:tc>
          <w:tcPr>
            <w:tcW w:w="3180" w:type="dxa"/>
            <w:vAlign w:val="bottom"/>
          </w:tcPr>
          <w:p>
            <w:pPr>
              <w:spacing w:after="0"/>
              <w:rPr>
                <w:sz w:val="15"/>
                <w:szCs w:val="15"/>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w:t>
            </w:r>
          </w:p>
        </w:tc>
      </w:tr>
      <w:tr>
        <w:trPr>
          <w:trHeight w:val="162"/>
        </w:trPr>
        <w:tc>
          <w:tcPr>
            <w:tcW w:w="3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BASIC AND DILUTED LOSS PER SHARE</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75"/>
        </w:trPr>
        <w:tc>
          <w:tcPr>
            <w:tcW w:w="3180" w:type="dxa"/>
            <w:vAlign w:val="bottom"/>
          </w:tcPr>
          <w:p>
            <w:pPr>
              <w:spacing w:after="0"/>
              <w:rPr>
                <w:sz w:val="15"/>
                <w:szCs w:val="15"/>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w:t>
            </w:r>
          </w:p>
        </w:tc>
      </w:tr>
      <w:tr>
        <w:trPr>
          <w:trHeight w:val="190"/>
        </w:trPr>
        <w:tc>
          <w:tcPr>
            <w:tcW w:w="3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31, 2026</w:t>
            </w:r>
          </w:p>
        </w:tc>
      </w:tr>
      <w:tr>
        <w:trPr>
          <w:trHeight w:val="145"/>
        </w:trPr>
        <w:tc>
          <w:tcPr>
            <w:tcW w:w="318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r>
      <w:tr>
        <w:trPr>
          <w:trHeight w:val="196"/>
        </w:trPr>
        <w:tc>
          <w:tcPr>
            <w:tcW w:w="3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Weighted average number of outstanding shares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63,378,911</w:t>
            </w:r>
          </w:p>
        </w:tc>
        <w:tc>
          <w:tcPr>
            <w:tcW w:w="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78,958,563</w:t>
            </w:r>
          </w:p>
        </w:tc>
      </w:tr>
      <w:tr>
        <w:trPr>
          <w:trHeight w:val="211"/>
        </w:trPr>
        <w:tc>
          <w:tcPr>
            <w:tcW w:w="3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Net loss for the period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(52,370)</w:t>
            </w:r>
          </w:p>
        </w:tc>
        <w:tc>
          <w:tcPr>
            <w:tcW w:w="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(48,468)</w:t>
            </w:r>
          </w:p>
        </w:tc>
      </w:tr>
      <w:tr>
        <w:trPr>
          <w:trHeight w:val="199"/>
        </w:trPr>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Basic and diluted loss per share (€/share)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(0.83)</w:t>
            </w:r>
          </w:p>
        </w:tc>
        <w:tc>
          <w:tcPr>
            <w:tcW w:w="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(0.61)</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Since net results for the three-month periods ended March 31, 2025 and 2026 are losses, potentially dilutive instruments (BCEs, BSAs, AGAs, the OCABSA, the Kreos / Claret BSAs and the Heights notes) have been excluded from the computation of diluted weighted-average shares outstanding because such instruments had an antidilutive impact. Consequently, diluted loss per share is the same as the basic loss per share.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Related parties</w:t>
      </w:r>
    </w:p>
    <w:p>
      <w:pPr>
        <w:spacing w:after="0" w:line="14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Except for share-based compensation plans (see Note 14), the Group has not engaged in any new transaction with its related parties over the three-month period ended March 31,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Off-balance sheet commitments given and contingent liabilities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Over the three-month period ended March 31, 2026, the Group has not entered into any significant additional off-balance sheet commitment or amended already existing commitments. The off-balance sheet commitments given by the Group as of March 31,</w:t>
      </w:r>
    </w:p>
    <w:p>
      <w:pPr>
        <w:spacing w:after="0" w:line="271" w:lineRule="auto"/>
        <w:rPr>
          <w:sz w:val="20"/>
          <w:szCs w:val="20"/>
          <w:color w:val="auto"/>
        </w:rPr>
      </w:pPr>
      <w:r>
        <w:rPr>
          <w:rFonts w:ascii="Times New Roman" w:cs="Times New Roman" w:eastAsia="Times New Roman" w:hAnsi="Times New Roman"/>
          <w:sz w:val="17"/>
          <w:szCs w:val="17"/>
          <w:color w:val="auto"/>
        </w:rPr>
        <w:t>2026 are identical to December 31, 2025, with the exception of the following changes in the commitments related to CRO contracts: In the ordinary course of business, the Group regularly uses the services of subcontractors and enters into research and partnership arrangements with various CROs, and with public- sector partners or subcontractors, who conduct clinical trials and s tudies in relation to the drug candidates. As of December 31, 2025 and March 31, 2026, the Group’s commitments amounted to €205,131 thousand and €198,060 thousand, respectively. The cost of services performed by CROs is recognized as an operating expense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Off-balance sheet commitments received and contingent assets</w:t>
      </w:r>
    </w:p>
    <w:p>
      <w:pPr>
        <w:spacing w:after="0" w:line="29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Over the three-month period ended March 31, 2026, the Group has not received any significant additional commitment and has not identified any contingent assets susceptible to being recognized in the future.</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Note 27. Management and assessment of financial risks</w:t>
      </w:r>
    </w:p>
    <w:p>
      <w:pPr>
        <w:spacing w:after="0" w:line="22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Group is exposed to interest rate risk, credit risk, foreign currency risk and liquidity risk. The Group has not identified any significant changes in the identified credit and interest rate risks as of March 31, 2026 compared to December 31,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contractual maturities of financial liabilities as of December 31, 2025 and March 31, 2026 are presented in Note 15.8.</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ectPr>
          <w:pgSz w:w="11900" w:h="16838" w:orient="portrait"/>
          <w:cols w:equalWidth="0" w:num="1">
            <w:col w:w="9720"/>
          </w:cols>
          <w:pgMar w:left="1080" w:top="1440" w:right="1099" w:bottom="1440" w:gutter="0" w:footer="0" w:header="0"/>
          <w:type w:val="continuous"/>
        </w:sectPr>
      </w:pPr>
    </w:p>
    <w:bookmarkStart w:id="53" w:name="page54"/>
    <w:bookmarkEnd w:id="53"/>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The Group's estimate of its cash runway as of the date of approval of these financial statements is set forth in Note 2 </w:t>
      </w:r>
      <w:r>
        <w:rPr>
          <w:rFonts w:ascii="Times New Roman" w:cs="Times New Roman" w:eastAsia="Times New Roman" w:hAnsi="Times New Roman"/>
          <w:sz w:val="18"/>
          <w:szCs w:val="18"/>
          <w:i w:val="1"/>
          <w:iCs w:val="1"/>
          <w:color w:val="auto"/>
        </w:rPr>
        <w:t>- Going concern.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68"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The Group is exposed to a risk of exchange rates fluctuations on commercial transactions performed in currencies different from the functional currency of the Group entity recording the transactions.</w:t>
      </w:r>
    </w:p>
    <w:p>
      <w:pPr>
        <w:spacing w:after="0" w:line="158" w:lineRule="exact"/>
        <w:rPr>
          <w:sz w:val="20"/>
          <w:szCs w:val="20"/>
          <w:color w:val="auto"/>
        </w:rPr>
      </w:pPr>
    </w:p>
    <w:p>
      <w:pPr>
        <w:jc w:val="both"/>
        <w:ind w:right="500"/>
        <w:spacing w:after="0" w:line="257" w:lineRule="auto"/>
        <w:rPr>
          <w:sz w:val="20"/>
          <w:szCs w:val="20"/>
          <w:color w:val="auto"/>
        </w:rPr>
      </w:pPr>
      <w:r>
        <w:rPr>
          <w:rFonts w:ascii="Times New Roman" w:cs="Times New Roman" w:eastAsia="Times New Roman" w:hAnsi="Times New Roman"/>
          <w:sz w:val="18"/>
          <w:szCs w:val="18"/>
          <w:color w:val="auto"/>
        </w:rPr>
        <w:t>As of March 31, 2026, the monetary (i) assets and (ii) liabilities denominated in U.S. dollars held by the Company amounted to respectively (i) $346,558 thousand (of which cash and cash equivalents of $129,235 thousand and intercompany receivables of $201,078 thousand) and (ii) $1,251 thousand.</w:t>
      </w:r>
    </w:p>
    <w:p>
      <w:pPr>
        <w:spacing w:after="0" w:line="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As a result, a 10% adverse change in the euro closing exchange rate against the U.S. dollar would have resulted in a foreign exchange loss of €27,302 thousand, while a 10% favorable change would have resulted in a foreign exchange gain of €33,369 thousand.</w:t>
      </w:r>
    </w:p>
    <w:p>
      <w:pPr>
        <w:ind w:right="300"/>
        <w:spacing w:after="0" w:line="260" w:lineRule="auto"/>
        <w:rPr>
          <w:sz w:val="20"/>
          <w:szCs w:val="20"/>
          <w:color w:val="auto"/>
        </w:rPr>
      </w:pPr>
      <w:r>
        <w:rPr>
          <w:rFonts w:ascii="Times New Roman" w:cs="Times New Roman" w:eastAsia="Times New Roman" w:hAnsi="Times New Roman"/>
          <w:sz w:val="18"/>
          <w:szCs w:val="18"/>
          <w:color w:val="auto"/>
        </w:rPr>
        <w:t>The Subsidiary does not hold any monetary asset or liability denominated in currencies different from its functioning currency (the U.S. dollar).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stage, the Group has not adopted any recurring mechanism of hedging to protect its activity against currency fluctuations. From</w:t>
      </w:r>
    </w:p>
    <w:p>
      <w:pPr>
        <w:spacing w:after="0" w:line="2" w:lineRule="exact"/>
        <w:rPr>
          <w:sz w:val="20"/>
          <w:szCs w:val="20"/>
          <w:color w:val="auto"/>
        </w:rPr>
      </w:pPr>
    </w:p>
    <w:p>
      <w:pPr>
        <w:jc w:val="both"/>
        <w:ind w:right="180"/>
        <w:spacing w:after="0" w:line="226" w:lineRule="auto"/>
        <w:rPr>
          <w:sz w:val="20"/>
          <w:szCs w:val="20"/>
          <w:color w:val="auto"/>
        </w:rPr>
      </w:pPr>
      <w:r>
        <w:rPr>
          <w:rFonts w:ascii="Times New Roman" w:cs="Times New Roman" w:eastAsia="Times New Roman" w:hAnsi="Times New Roman"/>
          <w:sz w:val="18"/>
          <w:szCs w:val="18"/>
          <w:color w:val="auto"/>
        </w:rPr>
        <w:t>time to time, the Group may nevertheless subscribe currency term accounts in order to cover a commitment in currency as described above. The Group may consider in the future using a suitable policy to hedge exchange risks in a more significant manner if needed.</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ectPr>
          <w:pgSz w:w="11900" w:h="16838" w:orient="portrait"/>
          <w:cols w:equalWidth="0" w:num="1">
            <w:col w:w="9720"/>
          </w:cols>
          <w:pgMar w:left="1080" w:top="1440" w:right="1099" w:bottom="1440" w:gutter="0" w:footer="0" w:header="0"/>
          <w:type w:val="continuous"/>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46" w:lineRule="exact"/>
        <w:rPr>
          <w:sz w:val="20"/>
          <w:szCs w:val="20"/>
          <w:color w:val="auto"/>
        </w:rPr>
      </w:pPr>
    </w:p>
    <w:p>
      <w:pPr>
        <w:jc w:val="center"/>
        <w:spacing w:after="0"/>
        <w:rPr>
          <w:sz w:val="20"/>
          <w:szCs w:val="20"/>
          <w:color w:val="auto"/>
        </w:rPr>
      </w:pPr>
      <w:r>
        <w:rPr>
          <w:rFonts w:ascii="Verdana" w:cs="Verdana" w:eastAsia="Verdana" w:hAnsi="Verdana"/>
          <w:sz w:val="31"/>
          <w:szCs w:val="31"/>
          <w:b w:val="1"/>
          <w:bCs w:val="1"/>
          <w:color w:val="614DD1"/>
        </w:rPr>
        <w:t>Abivax Presents First Quarter 2026 Financial Results and</w:t>
      </w:r>
    </w:p>
    <w:p>
      <w:pPr>
        <w:jc w:val="center"/>
        <w:spacing w:after="0" w:line="233" w:lineRule="auto"/>
        <w:rPr>
          <w:sz w:val="20"/>
          <w:szCs w:val="20"/>
          <w:color w:val="auto"/>
        </w:rPr>
      </w:pPr>
      <w:r>
        <w:rPr>
          <w:rFonts w:ascii="Verdana" w:cs="Verdana" w:eastAsia="Verdana" w:hAnsi="Verdana"/>
          <w:sz w:val="31"/>
          <w:szCs w:val="31"/>
          <w:b w:val="1"/>
          <w:bCs w:val="1"/>
          <w:color w:val="614DD1"/>
        </w:rPr>
        <w:t>Reports Three-Year Interim Data from Study 108, a Phase 2a/2b Open-Label Extension Trial of Obefazimod Following Dose De-Escalation in Patients with Ulcerative Colitis</w:t>
      </w:r>
    </w:p>
    <w:p>
      <w:pPr>
        <w:spacing w:after="0" w:line="190" w:lineRule="exact"/>
        <w:rPr>
          <w:sz w:val="20"/>
          <w:szCs w:val="20"/>
          <w:color w:val="auto"/>
        </w:rPr>
      </w:pPr>
    </w:p>
    <w:p>
      <w:pPr>
        <w:ind w:left="660" w:right="260" w:hanging="328"/>
        <w:spacing w:after="0" w:line="254" w:lineRule="auto"/>
        <w:tabs>
          <w:tab w:leader="none" w:pos="650" w:val="left"/>
        </w:tabs>
        <w:numPr>
          <w:ilvl w:val="0"/>
          <w:numId w:val="18"/>
        </w:numPr>
        <w:rPr>
          <w:rFonts w:ascii="Verdana" w:cs="Verdana" w:eastAsia="Verdana" w:hAnsi="Verdana"/>
          <w:sz w:val="18"/>
          <w:szCs w:val="18"/>
          <w:i w:val="1"/>
          <w:iCs w:val="1"/>
          <w:color w:val="13284B"/>
        </w:rPr>
      </w:pPr>
      <w:r>
        <w:rPr>
          <w:rFonts w:ascii="Verdana" w:cs="Verdana" w:eastAsia="Verdana" w:hAnsi="Verdana"/>
          <w:sz w:val="18"/>
          <w:szCs w:val="18"/>
          <w:i w:val="1"/>
          <w:iCs w:val="1"/>
          <w:color w:val="13284B"/>
        </w:rPr>
        <w:t>Interim intent to treat (“ITT”) analysis from Study 108 supports strong durable clinical remission in moderately to severely active ulcerative colitis (“UC”) patients treated with obefazimod</w:t>
      </w:r>
    </w:p>
    <w:p>
      <w:pPr>
        <w:spacing w:after="0" w:line="198" w:lineRule="exact"/>
        <w:rPr>
          <w:rFonts w:ascii="Verdana" w:cs="Verdana" w:eastAsia="Verdana" w:hAnsi="Verdana"/>
          <w:sz w:val="18"/>
          <w:szCs w:val="18"/>
          <w:i w:val="1"/>
          <w:iCs w:val="1"/>
          <w:color w:val="13284B"/>
        </w:rPr>
      </w:pPr>
    </w:p>
    <w:p>
      <w:pPr>
        <w:ind w:left="660" w:right="240" w:hanging="328"/>
        <w:spacing w:after="0" w:line="239" w:lineRule="auto"/>
        <w:tabs>
          <w:tab w:leader="none" w:pos="650" w:val="left"/>
        </w:tabs>
        <w:numPr>
          <w:ilvl w:val="0"/>
          <w:numId w:val="18"/>
        </w:numPr>
        <w:rPr>
          <w:rFonts w:ascii="Verdana" w:cs="Verdana" w:eastAsia="Verdana" w:hAnsi="Verdana"/>
          <w:sz w:val="18"/>
          <w:szCs w:val="18"/>
          <w:i w:val="1"/>
          <w:iCs w:val="1"/>
          <w:color w:val="13284B"/>
        </w:rPr>
      </w:pPr>
      <w:r>
        <w:rPr>
          <w:rFonts w:ascii="Verdana" w:cs="Verdana" w:eastAsia="Verdana" w:hAnsi="Verdana"/>
          <w:sz w:val="18"/>
          <w:szCs w:val="18"/>
          <w:i w:val="1"/>
          <w:iCs w:val="1"/>
          <w:color w:val="13284B"/>
        </w:rPr>
        <w:t>Following two to four years of open-label treatment with 50 mg, 130 patients de-escalated to 25 mg, and at week 144, 68% (88/130) were in clinical remission and 80% (104/130) completed 144 weeks of treatment</w:t>
      </w:r>
    </w:p>
    <w:p>
      <w:pPr>
        <w:spacing w:after="0" w:line="225" w:lineRule="exact"/>
        <w:rPr>
          <w:rFonts w:ascii="Verdana" w:cs="Verdana" w:eastAsia="Verdana" w:hAnsi="Verdana"/>
          <w:sz w:val="18"/>
          <w:szCs w:val="18"/>
          <w:i w:val="1"/>
          <w:iCs w:val="1"/>
          <w:color w:val="13284B"/>
        </w:rPr>
      </w:pPr>
    </w:p>
    <w:p>
      <w:pPr>
        <w:ind w:left="640" w:hanging="308"/>
        <w:spacing w:after="0"/>
        <w:tabs>
          <w:tab w:leader="none" w:pos="640" w:val="left"/>
        </w:tabs>
        <w:numPr>
          <w:ilvl w:val="0"/>
          <w:numId w:val="18"/>
        </w:numPr>
        <w:rPr>
          <w:rFonts w:ascii="Verdana" w:cs="Verdana" w:eastAsia="Verdana" w:hAnsi="Verdana"/>
          <w:sz w:val="18"/>
          <w:szCs w:val="18"/>
          <w:i w:val="1"/>
          <w:iCs w:val="1"/>
          <w:color w:val="13284B"/>
        </w:rPr>
      </w:pPr>
      <w:r>
        <w:rPr>
          <w:rFonts w:ascii="Verdana" w:cs="Verdana" w:eastAsia="Verdana" w:hAnsi="Verdana"/>
          <w:sz w:val="18"/>
          <w:szCs w:val="18"/>
          <w:i w:val="1"/>
          <w:iCs w:val="1"/>
          <w:color w:val="13284B"/>
        </w:rPr>
        <w:t>Patients in Study 108 were treated with obefazimod for up to seven years, with no new safety signals observed</w:t>
      </w:r>
    </w:p>
    <w:p>
      <w:pPr>
        <w:spacing w:after="0" w:line="226" w:lineRule="exact"/>
        <w:rPr>
          <w:rFonts w:ascii="Verdana" w:cs="Verdana" w:eastAsia="Verdana" w:hAnsi="Verdana"/>
          <w:sz w:val="18"/>
          <w:szCs w:val="18"/>
          <w:i w:val="1"/>
          <w:iCs w:val="1"/>
          <w:color w:val="13284B"/>
        </w:rPr>
      </w:pPr>
    </w:p>
    <w:p>
      <w:pPr>
        <w:ind w:left="640" w:hanging="308"/>
        <w:spacing w:after="0"/>
        <w:tabs>
          <w:tab w:leader="none" w:pos="640" w:val="left"/>
        </w:tabs>
        <w:numPr>
          <w:ilvl w:val="0"/>
          <w:numId w:val="18"/>
        </w:numPr>
        <w:rPr>
          <w:rFonts w:ascii="Verdana" w:cs="Verdana" w:eastAsia="Verdana" w:hAnsi="Verdana"/>
          <w:sz w:val="18"/>
          <w:szCs w:val="18"/>
          <w:i w:val="1"/>
          <w:iCs w:val="1"/>
          <w:color w:val="13284B"/>
        </w:rPr>
      </w:pPr>
      <w:r>
        <w:rPr>
          <w:rFonts w:ascii="Verdana" w:cs="Verdana" w:eastAsia="Verdana" w:hAnsi="Verdana"/>
          <w:sz w:val="18"/>
          <w:szCs w:val="18"/>
          <w:i w:val="1"/>
          <w:iCs w:val="1"/>
          <w:color w:val="13284B"/>
        </w:rPr>
        <w:t>ABTECT Phase 3 Maintenance Trial results expected in late Q2 2026</w:t>
      </w:r>
    </w:p>
    <w:p>
      <w:pPr>
        <w:spacing w:after="0" w:line="226" w:lineRule="exact"/>
        <w:rPr>
          <w:rFonts w:ascii="Verdana" w:cs="Verdana" w:eastAsia="Verdana" w:hAnsi="Verdana"/>
          <w:sz w:val="18"/>
          <w:szCs w:val="18"/>
          <w:i w:val="1"/>
          <w:iCs w:val="1"/>
          <w:color w:val="13284B"/>
        </w:rPr>
      </w:pPr>
    </w:p>
    <w:p>
      <w:pPr>
        <w:ind w:left="640" w:hanging="308"/>
        <w:spacing w:after="0"/>
        <w:tabs>
          <w:tab w:leader="none" w:pos="640" w:val="left"/>
        </w:tabs>
        <w:numPr>
          <w:ilvl w:val="0"/>
          <w:numId w:val="18"/>
        </w:numPr>
        <w:rPr>
          <w:rFonts w:ascii="Verdana" w:cs="Verdana" w:eastAsia="Verdana" w:hAnsi="Verdana"/>
          <w:sz w:val="18"/>
          <w:szCs w:val="18"/>
          <w:i w:val="1"/>
          <w:iCs w:val="1"/>
          <w:color w:val="13284B"/>
        </w:rPr>
      </w:pPr>
      <w:r>
        <w:rPr>
          <w:rFonts w:ascii="Verdana" w:cs="Verdana" w:eastAsia="Verdana" w:hAnsi="Verdana"/>
          <w:sz w:val="18"/>
          <w:szCs w:val="18"/>
          <w:i w:val="1"/>
          <w:iCs w:val="1"/>
          <w:color w:val="13284B"/>
        </w:rPr>
        <w:t>Cash, cash equivalents and short-term investments of €491.6M as of March 31, 2026; cash runway into Q4 2027</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13284B"/>
        </w:rPr>
        <w:t xml:space="preserve">PARIS, France – May 22, 2026 – 10:05 PM CEST </w:t>
      </w:r>
      <w:r>
        <w:rPr>
          <w:rFonts w:ascii="Verdana" w:cs="Verdana" w:eastAsia="Verdana" w:hAnsi="Verdana"/>
          <w:sz w:val="18"/>
          <w:szCs w:val="18"/>
          <w:color w:val="13284B"/>
        </w:rPr>
        <w:t>– Abivax SA (Euronext Paris: FR0012333284 – ABVX / Nasdaq –</w:t>
      </w:r>
    </w:p>
    <w:p>
      <w:pPr>
        <w:spacing w:after="0" w:line="11" w:lineRule="exact"/>
        <w:rPr>
          <w:sz w:val="20"/>
          <w:szCs w:val="20"/>
          <w:color w:val="auto"/>
        </w:rPr>
      </w:pPr>
    </w:p>
    <w:p>
      <w:pPr>
        <w:jc w:val="both"/>
        <w:spacing w:after="0" w:line="228" w:lineRule="auto"/>
        <w:rPr>
          <w:sz w:val="20"/>
          <w:szCs w:val="20"/>
          <w:color w:val="auto"/>
        </w:rPr>
      </w:pPr>
      <w:r>
        <w:rPr>
          <w:rFonts w:ascii="Verdana" w:cs="Verdana" w:eastAsia="Verdana" w:hAnsi="Verdana"/>
          <w:sz w:val="18"/>
          <w:szCs w:val="18"/>
          <w:color w:val="13284B"/>
        </w:rPr>
        <w:t>ABVX) (“Abivax” or the “Company”), a clinical-stage biotechnology company focused on developing therapeutics that harness the body’s natural regulatory mechanisms to stabilize the immune response in patients with chronic inflammatory diseases, reported today its financial results for the first quarter ended March 31, 2026. The first quarter financial statements, approved by the Company’s Board of Directors on May 21, 2026, have been reviewed by the Company’s statutory auditors, and the financial reports will be filed with the French and U.S. securities regulatory authorities, respectively, on May 22, 2026.</w:t>
      </w:r>
    </w:p>
    <w:p>
      <w:pPr>
        <w:spacing w:after="0" w:line="211" w:lineRule="exact"/>
        <w:rPr>
          <w:sz w:val="20"/>
          <w:szCs w:val="20"/>
          <w:color w:val="auto"/>
        </w:rPr>
      </w:pPr>
    </w:p>
    <w:p>
      <w:pPr>
        <w:jc w:val="both"/>
        <w:spacing w:after="0" w:line="222" w:lineRule="auto"/>
        <w:rPr>
          <w:sz w:val="20"/>
          <w:szCs w:val="20"/>
          <w:color w:val="auto"/>
        </w:rPr>
      </w:pPr>
      <w:r>
        <w:rPr>
          <w:rFonts w:ascii="Verdana" w:cs="Verdana" w:eastAsia="Verdana" w:hAnsi="Verdana"/>
          <w:sz w:val="18"/>
          <w:szCs w:val="18"/>
          <w:b w:val="1"/>
          <w:bCs w:val="1"/>
          <w:color w:val="13284B"/>
        </w:rPr>
        <w:t>Study 108: Three-Year Interim Analysis of Long-Term Obefazimod Treatment and Dose De-Escalation in Patients with Moderately to Severely Active UC</w:t>
      </w:r>
    </w:p>
    <w:p>
      <w:pPr>
        <w:jc w:val="both"/>
        <w:spacing w:after="0" w:line="229" w:lineRule="auto"/>
        <w:rPr>
          <w:sz w:val="20"/>
          <w:szCs w:val="20"/>
          <w:color w:val="auto"/>
        </w:rPr>
      </w:pPr>
      <w:r>
        <w:rPr>
          <w:rFonts w:ascii="Verdana" w:cs="Verdana" w:eastAsia="Verdana" w:hAnsi="Verdana"/>
          <w:sz w:val="18"/>
          <w:szCs w:val="18"/>
          <w:color w:val="13284B"/>
        </w:rPr>
        <w:t>In this open-label maintenance (“OLM”) trial, patients who had completed the four-year Phase 2a or two-year Phase 2b OLM trials, where they had received 50 mg of once-daily obefazimod, were given the opportunity to continue receiving obefazimod at a reduced dose of 25 mg daily for up to five additional years (provided they met the eligibility criteria of Mayo Endoscopic Subscore = 0 or 1). A total of 130 patients entered the trial and as of the January 5, 2026 cutoff date, 80% (104/130) were still enrolled and completed the full 144 week evaluation.</w:t>
      </w:r>
    </w:p>
    <w:p>
      <w:pPr>
        <w:spacing w:after="0" w:line="198" w:lineRule="exact"/>
        <w:rPr>
          <w:sz w:val="20"/>
          <w:szCs w:val="20"/>
          <w:color w:val="auto"/>
        </w:rPr>
      </w:pPr>
    </w:p>
    <w:p>
      <w:pPr>
        <w:jc w:val="both"/>
        <w:spacing w:after="0" w:line="231" w:lineRule="auto"/>
        <w:rPr>
          <w:sz w:val="20"/>
          <w:szCs w:val="20"/>
          <w:color w:val="auto"/>
        </w:rPr>
      </w:pPr>
      <w:r>
        <w:rPr>
          <w:rFonts w:ascii="Verdana" w:cs="Verdana" w:eastAsia="Verdana" w:hAnsi="Verdana"/>
          <w:sz w:val="18"/>
          <w:szCs w:val="18"/>
          <w:color w:val="13284B"/>
        </w:rPr>
        <w:t>At study baseline, 89% (116/130) of patients were in clinical remission. At weeks 48, 96 and 144 of treatment, 73% (95/130), 69% (90/130), and 68% (88/130) of patients evaluated were in clinical remission, respectively. Clinical remission, inclusive of endoscopic subscore, was evaluated in the in ITT population using non-responder imputation. Similar trends were observed with other efficacy analyses, and no new safety signals were observed.</w:t>
      </w:r>
    </w:p>
    <w:p>
      <w:pPr>
        <w:sectPr>
          <w:pgSz w:w="11900" w:h="16838" w:orient="portrait"/>
          <w:cols w:equalWidth="0" w:num="1">
            <w:col w:w="11240"/>
          </w:cols>
          <w:pgMar w:left="320" w:top="84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64" w:lineRule="exact"/>
        <w:rPr>
          <w:sz w:val="20"/>
          <w:szCs w:val="20"/>
          <w:color w:val="auto"/>
        </w:rPr>
      </w:pPr>
    </w:p>
    <w:p>
      <w:pPr>
        <w:ind w:right="40"/>
        <w:spacing w:after="0" w:line="229" w:lineRule="auto"/>
        <w:rPr>
          <w:sz w:val="20"/>
          <w:szCs w:val="20"/>
          <w:color w:val="auto"/>
        </w:rPr>
      </w:pPr>
      <w:r>
        <w:rPr>
          <w:rFonts w:ascii="Verdana" w:cs="Verdana" w:eastAsia="Verdana" w:hAnsi="Verdana"/>
          <w:sz w:val="18"/>
          <w:szCs w:val="18"/>
          <w:color w:val="13284B"/>
        </w:rPr>
        <w:t>“</w:t>
      </w:r>
      <w:r>
        <w:rPr>
          <w:rFonts w:ascii="Verdana" w:cs="Verdana" w:eastAsia="Verdana" w:hAnsi="Verdana"/>
          <w:sz w:val="18"/>
          <w:szCs w:val="18"/>
          <w:i w:val="1"/>
          <w:iCs w:val="1"/>
          <w:color w:val="13284B"/>
        </w:rPr>
        <w:t>The durability of clinical remission observed for up to seven years, together with the favorable tolerability profile observed</w:t>
      </w:r>
      <w:r>
        <w:rPr>
          <w:rFonts w:ascii="Verdana" w:cs="Verdana" w:eastAsia="Verdana" w:hAnsi="Verdana"/>
          <w:sz w:val="18"/>
          <w:szCs w:val="18"/>
          <w:color w:val="13284B"/>
        </w:rPr>
        <w:t xml:space="preserve"> </w:t>
      </w:r>
      <w:r>
        <w:rPr>
          <w:rFonts w:ascii="Verdana" w:cs="Verdana" w:eastAsia="Verdana" w:hAnsi="Verdana"/>
          <w:sz w:val="18"/>
          <w:szCs w:val="18"/>
          <w:i w:val="1"/>
          <w:iCs w:val="1"/>
          <w:color w:val="13284B"/>
        </w:rPr>
        <w:t>to date, supports the potential of obefazimod as a durable treatment option for people living with ulcerative colitis</w:t>
      </w:r>
      <w:r>
        <w:rPr>
          <w:rFonts w:ascii="Verdana" w:cs="Verdana" w:eastAsia="Verdana" w:hAnsi="Verdana"/>
          <w:sz w:val="18"/>
          <w:szCs w:val="18"/>
          <w:color w:val="13284B"/>
        </w:rPr>
        <w:t>,” said</w:t>
      </w:r>
    </w:p>
    <w:p>
      <w:pPr>
        <w:spacing w:after="0" w:line="1" w:lineRule="exact"/>
        <w:rPr>
          <w:sz w:val="20"/>
          <w:szCs w:val="20"/>
          <w:color w:val="auto"/>
        </w:rPr>
      </w:pPr>
    </w:p>
    <w:p>
      <w:pPr>
        <w:ind w:right="820"/>
        <w:spacing w:after="0" w:line="218" w:lineRule="exact"/>
        <w:rPr>
          <w:sz w:val="20"/>
          <w:szCs w:val="20"/>
          <w:color w:val="auto"/>
        </w:rPr>
      </w:pPr>
      <w:r>
        <w:rPr>
          <w:rFonts w:ascii="Verdana" w:cs="Verdana" w:eastAsia="Verdana" w:hAnsi="Verdana"/>
          <w:sz w:val="18"/>
          <w:szCs w:val="18"/>
          <w:b w:val="1"/>
          <w:bCs w:val="1"/>
          <w:color w:val="13284B"/>
        </w:rPr>
        <w:t>Fabio Cataldi, MD, Chief Medical Officer of Abivax</w:t>
      </w:r>
      <w:r>
        <w:rPr>
          <w:rFonts w:ascii="Verdana" w:cs="Verdana" w:eastAsia="Verdana" w:hAnsi="Verdana"/>
          <w:sz w:val="18"/>
          <w:szCs w:val="18"/>
          <w:color w:val="13284B"/>
        </w:rPr>
        <w:t>. “</w:t>
      </w:r>
      <w:r>
        <w:rPr>
          <w:rFonts w:ascii="Verdana" w:cs="Verdana" w:eastAsia="Verdana" w:hAnsi="Verdana"/>
          <w:sz w:val="18"/>
          <w:szCs w:val="18"/>
          <w:i w:val="1"/>
          <w:iCs w:val="1"/>
          <w:color w:val="13284B"/>
        </w:rPr>
        <w:t>We look forward to presenting these long</w:t>
      </w:r>
      <w:r>
        <w:rPr>
          <w:rFonts w:ascii="MS PGothic" w:cs="MS PGothic" w:eastAsia="MS PGothic" w:hAnsi="MS PGothic"/>
          <w:sz w:val="18"/>
          <w:szCs w:val="18"/>
          <w:i w:val="1"/>
          <w:iCs w:val="1"/>
          <w:color w:val="13284B"/>
        </w:rPr>
        <w:t>‑</w:t>
      </w:r>
      <w:r>
        <w:rPr>
          <w:rFonts w:ascii="Verdana" w:cs="Verdana" w:eastAsia="Verdana" w:hAnsi="Verdana"/>
          <w:sz w:val="18"/>
          <w:szCs w:val="18"/>
          <w:i w:val="1"/>
          <w:iCs w:val="1"/>
          <w:color w:val="13284B"/>
        </w:rPr>
        <w:t>term data at an</w:t>
      </w:r>
      <w:r>
        <w:rPr>
          <w:rFonts w:ascii="Verdana" w:cs="Verdana" w:eastAsia="Verdana" w:hAnsi="Verdana"/>
          <w:sz w:val="18"/>
          <w:szCs w:val="18"/>
          <w:b w:val="1"/>
          <w:bCs w:val="1"/>
          <w:color w:val="13284B"/>
        </w:rPr>
        <w:t xml:space="preserve"> </w:t>
      </w:r>
      <w:r>
        <w:rPr>
          <w:rFonts w:ascii="Verdana" w:cs="Verdana" w:eastAsia="Verdana" w:hAnsi="Verdana"/>
          <w:sz w:val="18"/>
          <w:szCs w:val="18"/>
          <w:i w:val="1"/>
          <w:iCs w:val="1"/>
          <w:color w:val="13284B"/>
        </w:rPr>
        <w:t>upcoming medical meeting</w:t>
      </w:r>
      <w:r>
        <w:rPr>
          <w:rFonts w:ascii="Verdana" w:cs="Verdana" w:eastAsia="Verdana" w:hAnsi="Verdana"/>
          <w:sz w:val="18"/>
          <w:szCs w:val="18"/>
          <w:color w:val="13284B"/>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Verdana" w:cs="Verdana" w:eastAsia="Verdana" w:hAnsi="Verdana"/>
          <w:sz w:val="18"/>
          <w:szCs w:val="18"/>
          <w:color w:val="13284B"/>
        </w:rPr>
        <w:t>Abivax provided the following updates on its business and operational goals in press releases published:</w:t>
      </w:r>
    </w:p>
    <w:p>
      <w:pPr>
        <w:spacing w:after="0" w:line="227" w:lineRule="exact"/>
        <w:rPr>
          <w:sz w:val="20"/>
          <w:szCs w:val="20"/>
          <w:color w:val="auto"/>
        </w:rPr>
      </w:pPr>
    </w:p>
    <w:p>
      <w:pPr>
        <w:ind w:left="640" w:hanging="308"/>
        <w:spacing w:after="0"/>
        <w:tabs>
          <w:tab w:leader="none" w:pos="640" w:val="left"/>
        </w:tabs>
        <w:numPr>
          <w:ilvl w:val="0"/>
          <w:numId w:val="19"/>
        </w:numPr>
        <w:rPr>
          <w:rFonts w:ascii="Verdana" w:cs="Verdana" w:eastAsia="Verdana" w:hAnsi="Verdana"/>
          <w:sz w:val="18"/>
          <w:szCs w:val="18"/>
          <w:color w:val="13284B"/>
        </w:rPr>
      </w:pPr>
      <w:r>
        <w:rPr>
          <w:rFonts w:ascii="Verdana" w:cs="Verdana" w:eastAsia="Verdana" w:hAnsi="Verdana"/>
          <w:sz w:val="18"/>
          <w:szCs w:val="18"/>
          <w:color w:val="13284B"/>
        </w:rPr>
        <w:t>On January 9, 2026, a press release titled “Abivax Provides 2026 Corporate Outlook”</w:t>
      </w:r>
    </w:p>
    <w:p>
      <w:pPr>
        <w:spacing w:after="0" w:line="226" w:lineRule="exact"/>
        <w:rPr>
          <w:rFonts w:ascii="Verdana" w:cs="Verdana" w:eastAsia="Verdana" w:hAnsi="Verdana"/>
          <w:sz w:val="18"/>
          <w:szCs w:val="18"/>
          <w:color w:val="13284B"/>
        </w:rPr>
      </w:pPr>
    </w:p>
    <w:p>
      <w:pPr>
        <w:ind w:left="660" w:hanging="328"/>
        <w:spacing w:after="0" w:line="239" w:lineRule="auto"/>
        <w:tabs>
          <w:tab w:leader="none" w:pos="650" w:val="left"/>
        </w:tabs>
        <w:numPr>
          <w:ilvl w:val="0"/>
          <w:numId w:val="19"/>
        </w:numPr>
        <w:rPr>
          <w:rFonts w:ascii="Verdana" w:cs="Verdana" w:eastAsia="Verdana" w:hAnsi="Verdana"/>
          <w:sz w:val="18"/>
          <w:szCs w:val="18"/>
          <w:color w:val="13284B"/>
        </w:rPr>
      </w:pPr>
      <w:r>
        <w:rPr>
          <w:rFonts w:ascii="Verdana" w:cs="Verdana" w:eastAsia="Verdana" w:hAnsi="Verdana"/>
          <w:sz w:val="18"/>
          <w:szCs w:val="18"/>
          <w:color w:val="13284B"/>
        </w:rPr>
        <w:t>On February 21, 2026, a press release titled “Abivax Presents First Evidence of Anti-Fibrotic Activity for Obefazimod Alongside New Clinical Efficacy and Safety Analyses in Inflammatory Bowel Disease at ECCO 2026”</w:t>
      </w:r>
    </w:p>
    <w:p>
      <w:pPr>
        <w:spacing w:after="0" w:line="212" w:lineRule="exact"/>
        <w:rPr>
          <w:rFonts w:ascii="Verdana" w:cs="Verdana" w:eastAsia="Verdana" w:hAnsi="Verdana"/>
          <w:sz w:val="18"/>
          <w:szCs w:val="18"/>
          <w:color w:val="13284B"/>
        </w:rPr>
      </w:pPr>
    </w:p>
    <w:p>
      <w:pPr>
        <w:ind w:left="660" w:hanging="328"/>
        <w:spacing w:after="0" w:line="239" w:lineRule="auto"/>
        <w:tabs>
          <w:tab w:leader="none" w:pos="650" w:val="left"/>
        </w:tabs>
        <w:numPr>
          <w:ilvl w:val="0"/>
          <w:numId w:val="19"/>
        </w:numPr>
        <w:rPr>
          <w:rFonts w:ascii="Verdana" w:cs="Verdana" w:eastAsia="Verdana" w:hAnsi="Verdana"/>
          <w:sz w:val="18"/>
          <w:szCs w:val="18"/>
          <w:color w:val="13284B"/>
        </w:rPr>
      </w:pPr>
      <w:r>
        <w:rPr>
          <w:rFonts w:ascii="Verdana" w:cs="Verdana" w:eastAsia="Verdana" w:hAnsi="Verdana"/>
          <w:sz w:val="18"/>
          <w:szCs w:val="18"/>
          <w:color w:val="13284B"/>
        </w:rPr>
        <w:t>On March 23, 2026, a press release titled “Abivax Announces Full Year 2025 Financial Results and Provides Business Updates”</w:t>
      </w:r>
    </w:p>
    <w:p>
      <w:pPr>
        <w:spacing w:after="0" w:line="212" w:lineRule="exact"/>
        <w:rPr>
          <w:rFonts w:ascii="Verdana" w:cs="Verdana" w:eastAsia="Verdana" w:hAnsi="Verdana"/>
          <w:sz w:val="18"/>
          <w:szCs w:val="18"/>
          <w:color w:val="13284B"/>
        </w:rPr>
      </w:pPr>
    </w:p>
    <w:p>
      <w:pPr>
        <w:ind w:left="660" w:hanging="328"/>
        <w:spacing w:after="0" w:line="239" w:lineRule="auto"/>
        <w:tabs>
          <w:tab w:leader="none" w:pos="650" w:val="left"/>
        </w:tabs>
        <w:numPr>
          <w:ilvl w:val="0"/>
          <w:numId w:val="19"/>
        </w:numPr>
        <w:rPr>
          <w:rFonts w:ascii="Verdana" w:cs="Verdana" w:eastAsia="Verdana" w:hAnsi="Verdana"/>
          <w:sz w:val="18"/>
          <w:szCs w:val="18"/>
          <w:color w:val="13284B"/>
        </w:rPr>
      </w:pPr>
      <w:r>
        <w:rPr>
          <w:rFonts w:ascii="Verdana" w:cs="Verdana" w:eastAsia="Verdana" w:hAnsi="Verdana"/>
          <w:sz w:val="18"/>
          <w:szCs w:val="18"/>
          <w:color w:val="13284B"/>
        </w:rPr>
        <w:t>On April 1, 2026, a press release titled “Abivax Publishes Financial Reports with the French and U.S. Securities Regulatory Agencies”</w:t>
      </w:r>
    </w:p>
    <w:p>
      <w:pPr>
        <w:spacing w:after="0" w:line="212" w:lineRule="exact"/>
        <w:rPr>
          <w:rFonts w:ascii="Verdana" w:cs="Verdana" w:eastAsia="Verdana" w:hAnsi="Verdana"/>
          <w:sz w:val="18"/>
          <w:szCs w:val="18"/>
          <w:color w:val="13284B"/>
        </w:rPr>
      </w:pPr>
    </w:p>
    <w:p>
      <w:pPr>
        <w:ind w:left="660" w:hanging="328"/>
        <w:spacing w:after="0" w:line="239" w:lineRule="auto"/>
        <w:tabs>
          <w:tab w:leader="none" w:pos="650" w:val="left"/>
        </w:tabs>
        <w:numPr>
          <w:ilvl w:val="0"/>
          <w:numId w:val="19"/>
        </w:numPr>
        <w:rPr>
          <w:rFonts w:ascii="Verdana" w:cs="Verdana" w:eastAsia="Verdana" w:hAnsi="Verdana"/>
          <w:sz w:val="18"/>
          <w:szCs w:val="18"/>
          <w:color w:val="13284B"/>
        </w:rPr>
      </w:pPr>
      <w:r>
        <w:rPr>
          <w:rFonts w:ascii="Verdana" w:cs="Verdana" w:eastAsia="Verdana" w:hAnsi="Verdana"/>
          <w:sz w:val="18"/>
          <w:szCs w:val="18"/>
          <w:color w:val="13284B"/>
        </w:rPr>
        <w:t>On April 20, 2026, a press release titled “Abivax Annual Ordinary and Extraordinary General Meeting of May 11, 2026 Availability of Preparatory Documents”</w:t>
      </w:r>
    </w:p>
    <w:p>
      <w:pPr>
        <w:spacing w:after="0" w:line="208" w:lineRule="exact"/>
        <w:rPr>
          <w:rFonts w:ascii="Verdana" w:cs="Verdana" w:eastAsia="Verdana" w:hAnsi="Verdana"/>
          <w:sz w:val="18"/>
          <w:szCs w:val="18"/>
          <w:color w:val="13284B"/>
        </w:rPr>
      </w:pPr>
    </w:p>
    <w:p>
      <w:pPr>
        <w:ind w:left="640" w:hanging="308"/>
        <w:spacing w:after="0"/>
        <w:tabs>
          <w:tab w:leader="none" w:pos="640" w:val="left"/>
        </w:tabs>
        <w:numPr>
          <w:ilvl w:val="0"/>
          <w:numId w:val="19"/>
        </w:numPr>
        <w:rPr>
          <w:rFonts w:ascii="Verdana" w:cs="Verdana" w:eastAsia="Verdana" w:hAnsi="Verdana"/>
          <w:sz w:val="18"/>
          <w:szCs w:val="18"/>
          <w:color w:val="13284B"/>
        </w:rPr>
      </w:pPr>
      <w:r>
        <w:rPr>
          <w:rFonts w:ascii="Verdana" w:cs="Verdana" w:eastAsia="Verdana" w:hAnsi="Verdana"/>
          <w:sz w:val="18"/>
          <w:szCs w:val="18"/>
          <w:color w:val="13284B"/>
        </w:rPr>
        <w:t>On April 22, 2026, a press release titled “Abivax to Present Data on Obefazimod at Digestive Disease Week</w:t>
      </w:r>
      <w:r>
        <w:rPr>
          <w:rFonts w:ascii="Verdana" w:cs="Verdana" w:eastAsia="Verdana" w:hAnsi="Verdana"/>
          <w:sz w:val="23"/>
          <w:szCs w:val="23"/>
          <w:color w:val="13284B"/>
          <w:vertAlign w:val="superscript"/>
        </w:rPr>
        <w:t>®</w:t>
      </w:r>
      <w:r>
        <w:rPr>
          <w:rFonts w:ascii="Verdana" w:cs="Verdana" w:eastAsia="Verdana" w:hAnsi="Verdana"/>
          <w:sz w:val="18"/>
          <w:szCs w:val="18"/>
          <w:color w:val="13284B"/>
        </w:rPr>
        <w:t>”</w:t>
      </w:r>
    </w:p>
    <w:p>
      <w:pPr>
        <w:spacing w:after="0" w:line="156" w:lineRule="exact"/>
        <w:rPr>
          <w:rFonts w:ascii="Verdana" w:cs="Verdana" w:eastAsia="Verdana" w:hAnsi="Verdana"/>
          <w:sz w:val="18"/>
          <w:szCs w:val="18"/>
          <w:color w:val="13284B"/>
        </w:rPr>
      </w:pPr>
    </w:p>
    <w:p>
      <w:pPr>
        <w:ind w:left="660" w:hanging="328"/>
        <w:spacing w:after="0" w:line="239" w:lineRule="auto"/>
        <w:tabs>
          <w:tab w:leader="none" w:pos="650" w:val="left"/>
        </w:tabs>
        <w:numPr>
          <w:ilvl w:val="0"/>
          <w:numId w:val="19"/>
        </w:numPr>
        <w:rPr>
          <w:rFonts w:ascii="Verdana" w:cs="Verdana" w:eastAsia="Verdana" w:hAnsi="Verdana"/>
          <w:sz w:val="18"/>
          <w:szCs w:val="18"/>
          <w:color w:val="13284B"/>
        </w:rPr>
      </w:pPr>
      <w:r>
        <w:rPr>
          <w:rFonts w:ascii="Verdana" w:cs="Verdana" w:eastAsia="Verdana" w:hAnsi="Verdana"/>
          <w:sz w:val="18"/>
          <w:szCs w:val="18"/>
          <w:color w:val="13284B"/>
        </w:rPr>
        <w:t>On May 5, 2026, a press release titled “Abivax Announces Repurchase of Royalty Certificates and Pricing of $45M (€38.5M) Offering of American Depositary Shares”</w:t>
      </w:r>
    </w:p>
    <w:p>
      <w:pPr>
        <w:spacing w:after="0" w:line="212" w:lineRule="exact"/>
        <w:rPr>
          <w:rFonts w:ascii="Verdana" w:cs="Verdana" w:eastAsia="Verdana" w:hAnsi="Verdana"/>
          <w:sz w:val="18"/>
          <w:szCs w:val="18"/>
          <w:color w:val="13284B"/>
        </w:rPr>
      </w:pPr>
    </w:p>
    <w:p>
      <w:pPr>
        <w:ind w:left="640" w:hanging="308"/>
        <w:spacing w:after="0"/>
        <w:tabs>
          <w:tab w:leader="none" w:pos="640" w:val="left"/>
        </w:tabs>
        <w:numPr>
          <w:ilvl w:val="0"/>
          <w:numId w:val="19"/>
        </w:numPr>
        <w:rPr>
          <w:rFonts w:ascii="Verdana" w:cs="Verdana" w:eastAsia="Verdana" w:hAnsi="Verdana"/>
          <w:sz w:val="18"/>
          <w:szCs w:val="18"/>
          <w:color w:val="13284B"/>
        </w:rPr>
      </w:pPr>
      <w:r>
        <w:rPr>
          <w:rFonts w:ascii="Verdana" w:cs="Verdana" w:eastAsia="Verdana" w:hAnsi="Verdana"/>
          <w:sz w:val="18"/>
          <w:szCs w:val="18"/>
          <w:color w:val="13284B"/>
        </w:rPr>
        <w:t>On May 11, 2026, a press release titled “Abivax Announces Results of its May 11, 2026 Annual General Meeting”</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13284B"/>
        </w:rPr>
        <w:t>First Quarter 2026 Financial Highlights</w:t>
      </w:r>
    </w:p>
    <w:p>
      <w:pPr>
        <w:sectPr>
          <w:pgSz w:w="11900" w:h="16838" w:orient="portrait"/>
          <w:cols w:equalWidth="0" w:num="1">
            <w:col w:w="11240"/>
          </w:cols>
          <w:pgMar w:left="320" w:top="846" w:right="339" w:bottom="1440" w:gutter="0" w:footer="0" w:header="0"/>
        </w:sectPr>
      </w:pPr>
    </w:p>
    <w:p>
      <w:pPr>
        <w:spacing w:after="0" w:line="227" w:lineRule="exact"/>
        <w:rPr>
          <w:sz w:val="20"/>
          <w:szCs w:val="20"/>
          <w:color w:val="auto"/>
        </w:rPr>
      </w:pPr>
    </w:p>
    <w:p>
      <w:pPr>
        <w:ind w:left="660" w:hanging="328"/>
        <w:spacing w:after="0" w:line="233" w:lineRule="auto"/>
        <w:tabs>
          <w:tab w:leader="none" w:pos="653" w:val="left"/>
        </w:tabs>
        <w:numPr>
          <w:ilvl w:val="0"/>
          <w:numId w:val="20"/>
        </w:numPr>
        <w:rPr>
          <w:rFonts w:ascii="Verdana" w:cs="Verdana" w:eastAsia="Verdana" w:hAnsi="Verdana"/>
          <w:sz w:val="18"/>
          <w:szCs w:val="18"/>
          <w:b w:val="1"/>
          <w:bCs w:val="1"/>
          <w:color w:val="13284B"/>
        </w:rPr>
      </w:pPr>
      <w:r>
        <w:rPr>
          <w:rFonts w:ascii="Verdana" w:cs="Verdana" w:eastAsia="Verdana" w:hAnsi="Verdana"/>
          <w:sz w:val="18"/>
          <w:szCs w:val="18"/>
          <w:b w:val="1"/>
          <w:bCs w:val="1"/>
          <w:color w:val="13284B"/>
        </w:rPr>
        <w:t xml:space="preserve">Cash Position and Runway: </w:t>
      </w:r>
      <w:r>
        <w:rPr>
          <w:rFonts w:ascii="Verdana" w:cs="Verdana" w:eastAsia="Verdana" w:hAnsi="Verdana"/>
          <w:sz w:val="18"/>
          <w:szCs w:val="18"/>
          <w:color w:val="13284B"/>
        </w:rPr>
        <w:t>million as of March 31, 2026, assumptions.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spacing w:after="0" w:line="239" w:lineRule="auto"/>
        <w:rPr>
          <w:sz w:val="20"/>
          <w:szCs w:val="20"/>
          <w:color w:val="auto"/>
        </w:rPr>
      </w:pPr>
      <w:r>
        <w:rPr>
          <w:rFonts w:ascii="Verdana" w:cs="Verdana" w:eastAsia="Verdana" w:hAnsi="Verdana"/>
          <w:sz w:val="18"/>
          <w:szCs w:val="18"/>
          <w:color w:val="13284B"/>
        </w:rPr>
        <w:t>The Company had cash, cash equivalents and short-term investments of €491.6 providing a projected cash runway into Q4 2027 based on current operating</w:t>
      </w:r>
    </w:p>
    <w:p>
      <w:pPr>
        <w:spacing w:after="0" w:line="401" w:lineRule="exact"/>
        <w:rPr>
          <w:sz w:val="20"/>
          <w:szCs w:val="20"/>
          <w:color w:val="auto"/>
        </w:rPr>
      </w:pPr>
    </w:p>
    <w:p>
      <w:pPr>
        <w:sectPr>
          <w:pgSz w:w="11900" w:h="16838" w:orient="portrait"/>
          <w:cols w:equalWidth="0" w:num="2">
            <w:col w:w="3580" w:space="20"/>
            <w:col w:w="7640"/>
          </w:cols>
          <w:pgMar w:left="320" w:top="846" w:right="339" w:bottom="1440" w:gutter="0" w:footer="0" w:header="0"/>
          <w:type w:val="continuous"/>
        </w:sectPr>
      </w:pPr>
    </w:p>
    <w:p>
      <w:pPr>
        <w:spacing w:after="0" w:line="13" w:lineRule="exact"/>
        <w:rPr>
          <w:sz w:val="20"/>
          <w:szCs w:val="20"/>
          <w:color w:val="auto"/>
        </w:rPr>
      </w:pPr>
    </w:p>
    <w:p>
      <w:pPr>
        <w:jc w:val="both"/>
        <w:ind w:left="660" w:hanging="328"/>
        <w:spacing w:after="0" w:line="227" w:lineRule="auto"/>
        <w:tabs>
          <w:tab w:leader="none" w:pos="650" w:val="left"/>
        </w:tabs>
        <w:numPr>
          <w:ilvl w:val="0"/>
          <w:numId w:val="21"/>
        </w:numPr>
        <w:rPr>
          <w:rFonts w:ascii="Verdana" w:cs="Verdana" w:eastAsia="Verdana" w:hAnsi="Verdana"/>
          <w:sz w:val="18"/>
          <w:szCs w:val="18"/>
          <w:color w:val="auto"/>
        </w:rPr>
      </w:pPr>
      <w:r>
        <w:rPr>
          <w:rFonts w:ascii="Verdana" w:cs="Verdana" w:eastAsia="Verdana" w:hAnsi="Verdana"/>
          <w:sz w:val="18"/>
          <w:szCs w:val="18"/>
          <w:b w:val="1"/>
          <w:bCs w:val="1"/>
          <w:color w:val="13284B"/>
        </w:rPr>
        <w:t xml:space="preserve">R&amp;D Expenses: </w:t>
      </w:r>
      <w:r>
        <w:rPr>
          <w:rFonts w:ascii="Verdana" w:cs="Verdana" w:eastAsia="Verdana" w:hAnsi="Verdana"/>
          <w:sz w:val="18"/>
          <w:szCs w:val="18"/>
          <w:color w:val="13284B"/>
        </w:rPr>
        <w:t>Research and development (“R&amp;D”) expenses increased by</w:t>
      </w:r>
      <w:r>
        <w:rPr>
          <w:rFonts w:ascii="Verdana" w:cs="Verdana" w:eastAsia="Verdana" w:hAnsi="Verdana"/>
          <w:sz w:val="18"/>
          <w:szCs w:val="18"/>
          <w:b w:val="1"/>
          <w:bCs w:val="1"/>
          <w:color w:val="13284B"/>
        </w:rPr>
        <w:t xml:space="preserve"> </w:t>
      </w:r>
      <w:r>
        <w:rPr>
          <w:rFonts w:ascii="Verdana" w:cs="Verdana" w:eastAsia="Verdana" w:hAnsi="Verdana"/>
          <w:sz w:val="18"/>
          <w:szCs w:val="18"/>
          <w:color w:val="000000"/>
        </w:rPr>
        <w:t>€10.2 million</w:t>
      </w:r>
      <w:r>
        <w:rPr>
          <w:rFonts w:ascii="Verdana" w:cs="Verdana" w:eastAsia="Verdana" w:hAnsi="Verdana"/>
          <w:sz w:val="18"/>
          <w:szCs w:val="18"/>
          <w:b w:val="1"/>
          <w:bCs w:val="1"/>
          <w:color w:val="13284B"/>
        </w:rPr>
        <w:t xml:space="preserve"> </w:t>
      </w:r>
      <w:r>
        <w:rPr>
          <w:rFonts w:ascii="Verdana" w:cs="Verdana" w:eastAsia="Verdana" w:hAnsi="Verdana"/>
          <w:sz w:val="18"/>
          <w:szCs w:val="18"/>
          <w:color w:val="13284B"/>
        </w:rPr>
        <w:t>to</w:t>
      </w:r>
      <w:r>
        <w:rPr>
          <w:rFonts w:ascii="Verdana" w:cs="Verdana" w:eastAsia="Verdana" w:hAnsi="Verdana"/>
          <w:sz w:val="18"/>
          <w:szCs w:val="18"/>
          <w:b w:val="1"/>
          <w:bCs w:val="1"/>
          <w:color w:val="13284B"/>
        </w:rPr>
        <w:t xml:space="preserve"> </w:t>
      </w:r>
      <w:r>
        <w:rPr>
          <w:rFonts w:ascii="Verdana" w:cs="Verdana" w:eastAsia="Verdana" w:hAnsi="Verdana"/>
          <w:sz w:val="18"/>
          <w:szCs w:val="18"/>
          <w:color w:val="000000"/>
        </w:rPr>
        <w:t>€49.5 million</w:t>
      </w:r>
      <w:r>
        <w:rPr>
          <w:rFonts w:ascii="Verdana" w:cs="Verdana" w:eastAsia="Verdana" w:hAnsi="Verdana"/>
          <w:sz w:val="18"/>
          <w:szCs w:val="18"/>
          <w:b w:val="1"/>
          <w:bCs w:val="1"/>
          <w:color w:val="13284B"/>
        </w:rPr>
        <w:t xml:space="preserve"> </w:t>
      </w:r>
      <w:r>
        <w:rPr>
          <w:rFonts w:ascii="Verdana" w:cs="Verdana" w:eastAsia="Verdana" w:hAnsi="Verdana"/>
          <w:sz w:val="18"/>
          <w:szCs w:val="18"/>
          <w:color w:val="13284B"/>
        </w:rPr>
        <w:t>(86.0%</w:t>
      </w:r>
      <w:r>
        <w:rPr>
          <w:rFonts w:ascii="Verdana" w:cs="Verdana" w:eastAsia="Verdana" w:hAnsi="Verdana"/>
          <w:sz w:val="18"/>
          <w:szCs w:val="18"/>
          <w:b w:val="1"/>
          <w:bCs w:val="1"/>
          <w:color w:val="13284B"/>
        </w:rPr>
        <w:t xml:space="preserve"> </w:t>
      </w:r>
      <w:r>
        <w:rPr>
          <w:rFonts w:ascii="Verdana" w:cs="Verdana" w:eastAsia="Verdana" w:hAnsi="Verdana"/>
          <w:sz w:val="18"/>
          <w:szCs w:val="18"/>
          <w:color w:val="13284B"/>
        </w:rPr>
        <w:t xml:space="preserve">of operating expenses) in the first quarter of 2026 compared to </w:t>
      </w:r>
      <w:r>
        <w:rPr>
          <w:rFonts w:ascii="Verdana" w:cs="Verdana" w:eastAsia="Verdana" w:hAnsi="Verdana"/>
          <w:sz w:val="18"/>
          <w:szCs w:val="18"/>
          <w:color w:val="000000"/>
        </w:rPr>
        <w:t>€39.3 million</w:t>
      </w:r>
      <w:r>
        <w:rPr>
          <w:rFonts w:ascii="Verdana" w:cs="Verdana" w:eastAsia="Verdana" w:hAnsi="Verdana"/>
          <w:sz w:val="18"/>
          <w:szCs w:val="18"/>
          <w:color w:val="13284B"/>
        </w:rPr>
        <w:t xml:space="preserve"> (81.5% of operating expenses) in the first quarter of 2025. This increase was predominantly driven by expenses related to:</w:t>
      </w:r>
    </w:p>
    <w:p>
      <w:pPr>
        <w:ind w:left="1300" w:hanging="320"/>
        <w:spacing w:after="0" w:line="236" w:lineRule="auto"/>
        <w:tabs>
          <w:tab w:leader="none" w:pos="1300" w:val="left"/>
        </w:tabs>
        <w:numPr>
          <w:ilvl w:val="1"/>
          <w:numId w:val="21"/>
        </w:numPr>
        <w:rPr>
          <w:rFonts w:ascii="Verdana" w:cs="Verdana" w:eastAsia="Verdana" w:hAnsi="Verdana"/>
          <w:sz w:val="18"/>
          <w:szCs w:val="18"/>
          <w:color w:val="13284B"/>
        </w:rPr>
      </w:pPr>
      <w:r>
        <w:rPr>
          <w:rFonts w:ascii="Verdana" w:cs="Verdana" w:eastAsia="Verdana" w:hAnsi="Verdana"/>
          <w:sz w:val="18"/>
          <w:szCs w:val="18"/>
          <w:color w:val="13284B"/>
        </w:rPr>
        <w:t xml:space="preserve">A </w:t>
      </w:r>
      <w:r>
        <w:rPr>
          <w:rFonts w:ascii="Verdana" w:cs="Verdana" w:eastAsia="Verdana" w:hAnsi="Verdana"/>
          <w:sz w:val="18"/>
          <w:szCs w:val="18"/>
          <w:color w:val="000000"/>
        </w:rPr>
        <w:t>€8.0 million</w:t>
      </w:r>
      <w:r>
        <w:rPr>
          <w:rFonts w:ascii="Verdana" w:cs="Verdana" w:eastAsia="Verdana" w:hAnsi="Verdana"/>
          <w:sz w:val="18"/>
          <w:szCs w:val="18"/>
          <w:color w:val="13284B"/>
        </w:rPr>
        <w:t xml:space="preserve"> increase related to new indications (including combination therapy) for obefazimod;</w:t>
      </w:r>
    </w:p>
    <w:p>
      <w:pPr>
        <w:ind w:left="1300" w:right="300" w:hanging="320"/>
        <w:spacing w:after="0" w:line="236" w:lineRule="auto"/>
        <w:tabs>
          <w:tab w:leader="none" w:pos="1296" w:val="left"/>
        </w:tabs>
        <w:numPr>
          <w:ilvl w:val="1"/>
          <w:numId w:val="21"/>
        </w:numPr>
        <w:rPr>
          <w:rFonts w:ascii="Verdana" w:cs="Verdana" w:eastAsia="Verdana" w:hAnsi="Verdana"/>
          <w:sz w:val="18"/>
          <w:szCs w:val="18"/>
          <w:color w:val="13284B"/>
        </w:rPr>
      </w:pPr>
      <w:r>
        <w:rPr>
          <w:rFonts w:ascii="Verdana" w:cs="Verdana" w:eastAsia="Verdana" w:hAnsi="Verdana"/>
          <w:sz w:val="18"/>
          <w:szCs w:val="18"/>
          <w:color w:val="13284B"/>
        </w:rPr>
        <w:t xml:space="preserve">A </w:t>
      </w:r>
      <w:r>
        <w:rPr>
          <w:rFonts w:ascii="Verdana" w:cs="Verdana" w:eastAsia="Verdana" w:hAnsi="Verdana"/>
          <w:sz w:val="18"/>
          <w:szCs w:val="18"/>
          <w:color w:val="000000"/>
        </w:rPr>
        <w:t>€2.0 million</w:t>
      </w:r>
      <w:r>
        <w:rPr>
          <w:rFonts w:ascii="Verdana" w:cs="Verdana" w:eastAsia="Verdana" w:hAnsi="Verdana"/>
          <w:sz w:val="18"/>
          <w:szCs w:val="18"/>
          <w:color w:val="13284B"/>
        </w:rPr>
        <w:t xml:space="preserve"> increase in transversal activities related to increased chemistry, manufacturing and controls and supply chain costs related to the progression of clinical trials and anticipation of potential future commercial launch; and</w:t>
      </w:r>
    </w:p>
    <w:p>
      <w:pPr>
        <w:spacing w:after="0" w:line="2" w:lineRule="exact"/>
        <w:rPr>
          <w:rFonts w:ascii="Verdana" w:cs="Verdana" w:eastAsia="Verdana" w:hAnsi="Verdana"/>
          <w:sz w:val="18"/>
          <w:szCs w:val="18"/>
          <w:color w:val="13284B"/>
        </w:rPr>
      </w:pPr>
    </w:p>
    <w:p>
      <w:pPr>
        <w:ind w:left="1300" w:right="580" w:hanging="320"/>
        <w:spacing w:after="0" w:line="236" w:lineRule="auto"/>
        <w:tabs>
          <w:tab w:leader="none" w:pos="1296" w:val="left"/>
        </w:tabs>
        <w:numPr>
          <w:ilvl w:val="1"/>
          <w:numId w:val="21"/>
        </w:numPr>
        <w:rPr>
          <w:rFonts w:ascii="Verdana" w:cs="Verdana" w:eastAsia="Verdana" w:hAnsi="Verdana"/>
          <w:sz w:val="18"/>
          <w:szCs w:val="18"/>
          <w:color w:val="auto"/>
        </w:rPr>
      </w:pPr>
      <w:r>
        <w:rPr>
          <w:rFonts w:ascii="Verdana" w:cs="Verdana" w:eastAsia="Verdana" w:hAnsi="Verdana"/>
          <w:sz w:val="18"/>
          <w:szCs w:val="18"/>
          <w:color w:val="13284B"/>
        </w:rPr>
        <w:t xml:space="preserve">A </w:t>
      </w:r>
      <w:r>
        <w:rPr>
          <w:rFonts w:ascii="Verdana" w:cs="Verdana" w:eastAsia="Verdana" w:hAnsi="Verdana"/>
          <w:sz w:val="18"/>
          <w:szCs w:val="18"/>
          <w:color w:val="000000"/>
        </w:rPr>
        <w:t>€2.0 million</w:t>
      </w:r>
      <w:r>
        <w:rPr>
          <w:rFonts w:ascii="Verdana" w:cs="Verdana" w:eastAsia="Verdana" w:hAnsi="Verdana"/>
          <w:sz w:val="18"/>
          <w:szCs w:val="18"/>
          <w:color w:val="13284B"/>
        </w:rPr>
        <w:t xml:space="preserve"> increase related to the Company’s Crohn’s disease (“CD”) clinical program, driven by the progression of Phase 2b clinical trials for obefazimod in CD; partially offset by</w:t>
      </w:r>
    </w:p>
    <w:p>
      <w:pPr>
        <w:spacing w:after="0" w:line="1" w:lineRule="exact"/>
        <w:rPr>
          <w:rFonts w:ascii="Verdana" w:cs="Verdana" w:eastAsia="Verdana" w:hAnsi="Verdana"/>
          <w:sz w:val="18"/>
          <w:szCs w:val="18"/>
          <w:color w:val="auto"/>
        </w:rPr>
      </w:pPr>
    </w:p>
    <w:p>
      <w:pPr>
        <w:ind w:left="1300" w:right="160" w:hanging="320"/>
        <w:spacing w:after="0" w:line="236" w:lineRule="auto"/>
        <w:tabs>
          <w:tab w:leader="none" w:pos="1296" w:val="left"/>
        </w:tabs>
        <w:numPr>
          <w:ilvl w:val="1"/>
          <w:numId w:val="21"/>
        </w:numPr>
        <w:rPr>
          <w:rFonts w:ascii="Verdana" w:cs="Verdana" w:eastAsia="Verdana" w:hAnsi="Verdana"/>
          <w:sz w:val="18"/>
          <w:szCs w:val="18"/>
          <w:color w:val="auto"/>
        </w:rPr>
      </w:pPr>
      <w:r>
        <w:rPr>
          <w:rFonts w:ascii="Verdana" w:cs="Verdana" w:eastAsia="Verdana" w:hAnsi="Verdana"/>
          <w:sz w:val="18"/>
          <w:szCs w:val="18"/>
          <w:color w:val="13284B"/>
        </w:rPr>
        <w:t xml:space="preserve">A </w:t>
      </w:r>
      <w:r>
        <w:rPr>
          <w:rFonts w:ascii="Verdana" w:cs="Verdana" w:eastAsia="Verdana" w:hAnsi="Verdana"/>
          <w:sz w:val="18"/>
          <w:szCs w:val="18"/>
          <w:color w:val="000000"/>
        </w:rPr>
        <w:t>€(4.0) million</w:t>
      </w:r>
      <w:r>
        <w:rPr>
          <w:rFonts w:ascii="Verdana" w:cs="Verdana" w:eastAsia="Verdana" w:hAnsi="Verdana"/>
          <w:sz w:val="18"/>
          <w:szCs w:val="18"/>
          <w:color w:val="13284B"/>
        </w:rPr>
        <w:t xml:space="preserve"> decrease related to the Company’s UC clinical program, driven by nearing the ending of the phase 3 clinical trials.</w:t>
      </w:r>
    </w:p>
    <w:p>
      <w:pPr>
        <w:spacing w:after="0" w:line="1" w:lineRule="exact"/>
        <w:rPr>
          <w:rFonts w:ascii="Verdana" w:cs="Verdana" w:eastAsia="Verdana" w:hAnsi="Verdana"/>
          <w:sz w:val="18"/>
          <w:szCs w:val="18"/>
          <w:color w:val="auto"/>
        </w:rPr>
      </w:pPr>
    </w:p>
    <w:p>
      <w:pPr>
        <w:ind w:left="1300" w:right="340" w:hanging="320"/>
        <w:spacing w:after="0" w:line="254" w:lineRule="auto"/>
        <w:tabs>
          <w:tab w:leader="none" w:pos="1296" w:val="left"/>
        </w:tabs>
        <w:numPr>
          <w:ilvl w:val="1"/>
          <w:numId w:val="21"/>
        </w:numPr>
        <w:rPr>
          <w:rFonts w:ascii="Verdana" w:cs="Verdana" w:eastAsia="Verdana" w:hAnsi="Verdana"/>
          <w:sz w:val="18"/>
          <w:szCs w:val="18"/>
          <w:color w:val="13284B"/>
        </w:rPr>
      </w:pPr>
      <w:r>
        <w:rPr>
          <w:rFonts w:ascii="Verdana" w:cs="Verdana" w:eastAsia="Verdana" w:hAnsi="Verdana"/>
          <w:sz w:val="18"/>
          <w:szCs w:val="18"/>
          <w:color w:val="13284B"/>
        </w:rPr>
        <w:t>94.5% of R&amp;D expenses related to obefazimod in the first quarter of 2026 compared to 98.5% in the first quarter of 2025.</w:t>
      </w:r>
    </w:p>
    <w:p>
      <w:pPr>
        <w:sectPr>
          <w:pgSz w:w="11900" w:h="16838" w:orient="portrait"/>
          <w:cols w:equalWidth="0" w:num="1">
            <w:col w:w="11240"/>
          </w:cols>
          <w:pgMar w:left="320" w:top="846" w:right="339" w:bottom="1440" w:gutter="0" w:footer="0" w:header="0"/>
          <w:type w:val="continuous"/>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right="40" w:hanging="328"/>
        <w:spacing w:after="0" w:line="224" w:lineRule="auto"/>
        <w:tabs>
          <w:tab w:leader="none" w:pos="650" w:val="left"/>
        </w:tabs>
        <w:numPr>
          <w:ilvl w:val="0"/>
          <w:numId w:val="22"/>
        </w:numPr>
        <w:rPr>
          <w:rFonts w:ascii="Verdana" w:cs="Verdana" w:eastAsia="Verdana" w:hAnsi="Verdana"/>
          <w:sz w:val="18"/>
          <w:szCs w:val="18"/>
          <w:color w:val="auto"/>
        </w:rPr>
      </w:pPr>
      <w:r>
        <w:rPr>
          <w:rFonts w:ascii="Verdana" w:cs="Verdana" w:eastAsia="Verdana" w:hAnsi="Verdana"/>
          <w:sz w:val="18"/>
          <w:szCs w:val="18"/>
          <w:b w:val="1"/>
          <w:bCs w:val="1"/>
          <w:color w:val="13284B"/>
        </w:rPr>
        <w:t xml:space="preserve">G&amp;A Expenses: </w:t>
      </w:r>
      <w:r>
        <w:rPr>
          <w:rFonts w:ascii="Verdana" w:cs="Verdana" w:eastAsia="Verdana" w:hAnsi="Verdana"/>
          <w:sz w:val="18"/>
          <w:szCs w:val="18"/>
          <w:color w:val="13284B"/>
        </w:rPr>
        <w:t>General and administrative expenses decreased by</w:t>
      </w:r>
      <w:r>
        <w:rPr>
          <w:rFonts w:ascii="Verdana" w:cs="Verdana" w:eastAsia="Verdana" w:hAnsi="Verdana"/>
          <w:sz w:val="18"/>
          <w:szCs w:val="18"/>
          <w:b w:val="1"/>
          <w:bCs w:val="1"/>
          <w:color w:val="13284B"/>
        </w:rPr>
        <w:t xml:space="preserve"> </w:t>
      </w:r>
      <w:r>
        <w:rPr>
          <w:rFonts w:ascii="Verdana" w:cs="Verdana" w:eastAsia="Verdana" w:hAnsi="Verdana"/>
          <w:sz w:val="18"/>
          <w:szCs w:val="18"/>
          <w:color w:val="000000"/>
        </w:rPr>
        <w:t>€(1.7) million</w:t>
      </w:r>
      <w:r>
        <w:rPr>
          <w:rFonts w:ascii="Verdana" w:cs="Verdana" w:eastAsia="Verdana" w:hAnsi="Verdana"/>
          <w:sz w:val="18"/>
          <w:szCs w:val="18"/>
          <w:b w:val="1"/>
          <w:bCs w:val="1"/>
          <w:color w:val="13284B"/>
        </w:rPr>
        <w:t xml:space="preserve"> </w:t>
      </w:r>
      <w:r>
        <w:rPr>
          <w:rFonts w:ascii="Verdana" w:cs="Verdana" w:eastAsia="Verdana" w:hAnsi="Verdana"/>
          <w:sz w:val="18"/>
          <w:szCs w:val="18"/>
          <w:color w:val="13284B"/>
        </w:rPr>
        <w:t>to</w:t>
      </w:r>
      <w:r>
        <w:rPr>
          <w:rFonts w:ascii="Verdana" w:cs="Verdana" w:eastAsia="Verdana" w:hAnsi="Verdana"/>
          <w:sz w:val="18"/>
          <w:szCs w:val="18"/>
          <w:b w:val="1"/>
          <w:bCs w:val="1"/>
          <w:color w:val="13284B"/>
        </w:rPr>
        <w:t xml:space="preserve"> </w:t>
      </w:r>
      <w:r>
        <w:rPr>
          <w:rFonts w:ascii="Verdana" w:cs="Verdana" w:eastAsia="Verdana" w:hAnsi="Verdana"/>
          <w:sz w:val="18"/>
          <w:szCs w:val="18"/>
          <w:color w:val="000000"/>
        </w:rPr>
        <w:t>€6.3 million</w:t>
      </w:r>
      <w:r>
        <w:rPr>
          <w:rFonts w:ascii="Verdana" w:cs="Verdana" w:eastAsia="Verdana" w:hAnsi="Verdana"/>
          <w:sz w:val="18"/>
          <w:szCs w:val="18"/>
          <w:b w:val="1"/>
          <w:bCs w:val="1"/>
          <w:color w:val="13284B"/>
        </w:rPr>
        <w:t xml:space="preserve"> </w:t>
      </w:r>
      <w:r>
        <w:rPr>
          <w:rFonts w:ascii="Verdana" w:cs="Verdana" w:eastAsia="Verdana" w:hAnsi="Verdana"/>
          <w:sz w:val="18"/>
          <w:szCs w:val="18"/>
          <w:color w:val="13284B"/>
        </w:rPr>
        <w:t>(10.9% of</w:t>
      </w:r>
      <w:r>
        <w:rPr>
          <w:rFonts w:ascii="Verdana" w:cs="Verdana" w:eastAsia="Verdana" w:hAnsi="Verdana"/>
          <w:sz w:val="18"/>
          <w:szCs w:val="18"/>
          <w:b w:val="1"/>
          <w:bCs w:val="1"/>
          <w:color w:val="13284B"/>
        </w:rPr>
        <w:t xml:space="preserve"> </w:t>
      </w:r>
      <w:r>
        <w:rPr>
          <w:rFonts w:ascii="Verdana" w:cs="Verdana" w:eastAsia="Verdana" w:hAnsi="Verdana"/>
          <w:sz w:val="18"/>
          <w:szCs w:val="18"/>
          <w:color w:val="13284B"/>
        </w:rPr>
        <w:t xml:space="preserve">operating expenses) in the first quarter of 2026 compared to </w:t>
      </w:r>
      <w:r>
        <w:rPr>
          <w:rFonts w:ascii="Verdana" w:cs="Verdana" w:eastAsia="Verdana" w:hAnsi="Verdana"/>
          <w:sz w:val="18"/>
          <w:szCs w:val="18"/>
          <w:color w:val="000000"/>
        </w:rPr>
        <w:t>€8.0 million</w:t>
      </w:r>
      <w:r>
        <w:rPr>
          <w:rFonts w:ascii="Verdana" w:cs="Verdana" w:eastAsia="Verdana" w:hAnsi="Verdana"/>
          <w:sz w:val="18"/>
          <w:szCs w:val="18"/>
          <w:color w:val="13284B"/>
        </w:rPr>
        <w:t xml:space="preserve"> (16.7% of operating expenses) in the first quarter of 2025. This decrease is primarily due to decrease in personnel costs, attributable to the decrease in employer tax and social contributions related to our AGAs of €(3.5) million, resulting from the decrease in our share price during the first quarter of 2026 and, to a lesser extent, forfeitures following employee departures and changes in estimates regarding the achievement of vesting conditions. The decrease was partly offset by a €1.4 million increase in consulting and professional fees, driven by costs associated with building our infrastructure to support future growth in our operations.</w:t>
      </w:r>
    </w:p>
    <w:p>
      <w:pPr>
        <w:spacing w:after="0" w:line="216" w:lineRule="exact"/>
        <w:rPr>
          <w:rFonts w:ascii="Verdana" w:cs="Verdana" w:eastAsia="Verdana" w:hAnsi="Verdana"/>
          <w:sz w:val="18"/>
          <w:szCs w:val="18"/>
          <w:color w:val="auto"/>
        </w:rPr>
      </w:pPr>
    </w:p>
    <w:p>
      <w:pPr>
        <w:ind w:left="660" w:right="60" w:hanging="328"/>
        <w:spacing w:after="0" w:line="231" w:lineRule="auto"/>
        <w:tabs>
          <w:tab w:leader="none" w:pos="650" w:val="left"/>
        </w:tabs>
        <w:numPr>
          <w:ilvl w:val="0"/>
          <w:numId w:val="22"/>
        </w:numPr>
        <w:rPr>
          <w:rFonts w:ascii="Verdana" w:cs="Verdana" w:eastAsia="Verdana" w:hAnsi="Verdana"/>
          <w:sz w:val="18"/>
          <w:szCs w:val="18"/>
          <w:color w:val="auto"/>
        </w:rPr>
      </w:pPr>
      <w:r>
        <w:rPr>
          <w:rFonts w:ascii="Verdana" w:cs="Verdana" w:eastAsia="Verdana" w:hAnsi="Verdana"/>
          <w:sz w:val="18"/>
          <w:szCs w:val="18"/>
          <w:b w:val="1"/>
          <w:bCs w:val="1"/>
          <w:color w:val="13284B"/>
        </w:rPr>
        <w:t xml:space="preserve">Sales and Marketing Expenses: </w:t>
      </w:r>
      <w:r>
        <w:rPr>
          <w:rFonts w:ascii="Verdana" w:cs="Verdana" w:eastAsia="Verdana" w:hAnsi="Verdana"/>
          <w:sz w:val="18"/>
          <w:szCs w:val="18"/>
          <w:color w:val="13284B"/>
        </w:rPr>
        <w:t>Sales and marketing expenses increased by</w:t>
      </w:r>
      <w:r>
        <w:rPr>
          <w:rFonts w:ascii="Verdana" w:cs="Verdana" w:eastAsia="Verdana" w:hAnsi="Verdana"/>
          <w:sz w:val="18"/>
          <w:szCs w:val="18"/>
          <w:b w:val="1"/>
          <w:bCs w:val="1"/>
          <w:color w:val="13284B"/>
        </w:rPr>
        <w:t xml:space="preserve"> </w:t>
      </w:r>
      <w:r>
        <w:rPr>
          <w:rFonts w:ascii="Verdana" w:cs="Verdana" w:eastAsia="Verdana" w:hAnsi="Verdana"/>
          <w:sz w:val="18"/>
          <w:szCs w:val="18"/>
          <w:color w:val="000000"/>
        </w:rPr>
        <w:t>€0.9 million</w:t>
      </w:r>
      <w:r>
        <w:rPr>
          <w:rFonts w:ascii="Verdana" w:cs="Verdana" w:eastAsia="Verdana" w:hAnsi="Verdana"/>
          <w:sz w:val="18"/>
          <w:szCs w:val="18"/>
          <w:b w:val="1"/>
          <w:bCs w:val="1"/>
          <w:color w:val="13284B"/>
        </w:rPr>
        <w:t xml:space="preserve"> </w:t>
      </w:r>
      <w:r>
        <w:rPr>
          <w:rFonts w:ascii="Verdana" w:cs="Verdana" w:eastAsia="Verdana" w:hAnsi="Verdana"/>
          <w:sz w:val="18"/>
          <w:szCs w:val="18"/>
          <w:color w:val="13284B"/>
        </w:rPr>
        <w:t>to</w:t>
      </w:r>
      <w:r>
        <w:rPr>
          <w:rFonts w:ascii="Verdana" w:cs="Verdana" w:eastAsia="Verdana" w:hAnsi="Verdana"/>
          <w:sz w:val="18"/>
          <w:szCs w:val="18"/>
          <w:b w:val="1"/>
          <w:bCs w:val="1"/>
          <w:color w:val="13284B"/>
        </w:rPr>
        <w:t xml:space="preserve"> </w:t>
      </w:r>
      <w:r>
        <w:rPr>
          <w:rFonts w:ascii="Verdana" w:cs="Verdana" w:eastAsia="Verdana" w:hAnsi="Verdana"/>
          <w:sz w:val="18"/>
          <w:szCs w:val="18"/>
          <w:color w:val="000000"/>
        </w:rPr>
        <w:t>€1.7 million</w:t>
      </w:r>
      <w:r>
        <w:rPr>
          <w:rFonts w:ascii="Verdana" w:cs="Verdana" w:eastAsia="Verdana" w:hAnsi="Verdana"/>
          <w:sz w:val="18"/>
          <w:szCs w:val="18"/>
          <w:b w:val="1"/>
          <w:bCs w:val="1"/>
          <w:color w:val="13284B"/>
        </w:rPr>
        <w:t xml:space="preserve"> </w:t>
      </w:r>
      <w:r>
        <w:rPr>
          <w:rFonts w:ascii="Verdana" w:cs="Verdana" w:eastAsia="Verdana" w:hAnsi="Verdana"/>
          <w:sz w:val="18"/>
          <w:szCs w:val="18"/>
          <w:color w:val="13284B"/>
        </w:rPr>
        <w:t>(3.0% of</w:t>
      </w:r>
      <w:r>
        <w:rPr>
          <w:rFonts w:ascii="Verdana" w:cs="Verdana" w:eastAsia="Verdana" w:hAnsi="Verdana"/>
          <w:sz w:val="18"/>
          <w:szCs w:val="18"/>
          <w:b w:val="1"/>
          <w:bCs w:val="1"/>
          <w:color w:val="13284B"/>
        </w:rPr>
        <w:t xml:space="preserve"> </w:t>
      </w:r>
      <w:r>
        <w:rPr>
          <w:rFonts w:ascii="Verdana" w:cs="Verdana" w:eastAsia="Verdana" w:hAnsi="Verdana"/>
          <w:sz w:val="18"/>
          <w:szCs w:val="18"/>
          <w:color w:val="13284B"/>
        </w:rPr>
        <w:t xml:space="preserve">operating expenses) in the first quarter of 2026 compared to </w:t>
      </w:r>
      <w:r>
        <w:rPr>
          <w:rFonts w:ascii="Verdana" w:cs="Verdana" w:eastAsia="Verdana" w:hAnsi="Verdana"/>
          <w:sz w:val="18"/>
          <w:szCs w:val="18"/>
          <w:color w:val="000000"/>
        </w:rPr>
        <w:t>€0.9 million</w:t>
      </w:r>
      <w:r>
        <w:rPr>
          <w:rFonts w:ascii="Verdana" w:cs="Verdana" w:eastAsia="Verdana" w:hAnsi="Verdana"/>
          <w:sz w:val="18"/>
          <w:szCs w:val="18"/>
          <w:color w:val="13284B"/>
        </w:rPr>
        <w:t xml:space="preserve"> (1.8% of operating expenses) in 2025. The increase was driven by costs related to our preparation for potential future sales and commercialization efforts for obefazimod in the U.S.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13284B"/>
        </w:rPr>
        <w:t>Anticipated Upcoming Key Dates</w:t>
      </w:r>
    </w:p>
    <w:p>
      <w:pPr>
        <w:ind w:left="640" w:hanging="308"/>
        <w:spacing w:after="0" w:line="222" w:lineRule="auto"/>
        <w:tabs>
          <w:tab w:leader="none" w:pos="640" w:val="left"/>
        </w:tabs>
        <w:numPr>
          <w:ilvl w:val="0"/>
          <w:numId w:val="23"/>
        </w:numPr>
        <w:rPr>
          <w:rFonts w:ascii="Verdana" w:cs="Verdana" w:eastAsia="Verdana" w:hAnsi="Verdana"/>
          <w:sz w:val="18"/>
          <w:szCs w:val="18"/>
          <w:color w:val="13284B"/>
        </w:rPr>
      </w:pPr>
      <w:r>
        <w:rPr>
          <w:rFonts w:ascii="Verdana" w:cs="Verdana" w:eastAsia="Verdana" w:hAnsi="Verdana"/>
          <w:sz w:val="18"/>
          <w:szCs w:val="18"/>
          <w:color w:val="13284B"/>
        </w:rPr>
        <w:t>Topline results of UC ABTECT Phase 3 maintenance trial - late Q2 2026</w:t>
      </w:r>
    </w:p>
    <w:p>
      <w:pPr>
        <w:ind w:left="640" w:hanging="308"/>
        <w:spacing w:after="0" w:line="222" w:lineRule="auto"/>
        <w:tabs>
          <w:tab w:leader="none" w:pos="640" w:val="left"/>
        </w:tabs>
        <w:numPr>
          <w:ilvl w:val="0"/>
          <w:numId w:val="23"/>
        </w:numPr>
        <w:rPr>
          <w:rFonts w:ascii="Verdana" w:cs="Verdana" w:eastAsia="Verdana" w:hAnsi="Verdana"/>
          <w:sz w:val="18"/>
          <w:szCs w:val="18"/>
          <w:color w:val="13284B"/>
        </w:rPr>
      </w:pPr>
      <w:r>
        <w:rPr>
          <w:rFonts w:ascii="Verdana" w:cs="Verdana" w:eastAsia="Verdana" w:hAnsi="Verdana"/>
          <w:sz w:val="18"/>
          <w:szCs w:val="18"/>
          <w:color w:val="13284B"/>
        </w:rPr>
        <w:t>Half-Year Financial Results - September 21, 2026</w:t>
      </w:r>
    </w:p>
    <w:p>
      <w:pPr>
        <w:ind w:left="640" w:hanging="308"/>
        <w:spacing w:after="0" w:line="222" w:lineRule="auto"/>
        <w:tabs>
          <w:tab w:leader="none" w:pos="640" w:val="left"/>
        </w:tabs>
        <w:numPr>
          <w:ilvl w:val="0"/>
          <w:numId w:val="23"/>
        </w:numPr>
        <w:rPr>
          <w:rFonts w:ascii="Verdana" w:cs="Verdana" w:eastAsia="Verdana" w:hAnsi="Verdana"/>
          <w:sz w:val="18"/>
          <w:szCs w:val="18"/>
          <w:color w:val="13284B"/>
        </w:rPr>
      </w:pPr>
      <w:r>
        <w:rPr>
          <w:rFonts w:ascii="Verdana" w:cs="Verdana" w:eastAsia="Verdana" w:hAnsi="Verdana"/>
          <w:sz w:val="18"/>
          <w:szCs w:val="18"/>
          <w:color w:val="13284B"/>
        </w:rPr>
        <w:t>Topline results of Phase 2b induction trial for CD - Q4 2026</w:t>
      </w:r>
    </w:p>
    <w:p>
      <w:pPr>
        <w:ind w:left="640" w:hanging="308"/>
        <w:spacing w:after="0"/>
        <w:tabs>
          <w:tab w:leader="none" w:pos="640" w:val="left"/>
        </w:tabs>
        <w:numPr>
          <w:ilvl w:val="0"/>
          <w:numId w:val="23"/>
        </w:numPr>
        <w:rPr>
          <w:rFonts w:ascii="Verdana" w:cs="Verdana" w:eastAsia="Verdana" w:hAnsi="Verdana"/>
          <w:sz w:val="18"/>
          <w:szCs w:val="18"/>
          <w:color w:val="13284B"/>
        </w:rPr>
      </w:pPr>
      <w:r>
        <w:rPr>
          <w:rFonts w:ascii="Verdana" w:cs="Verdana" w:eastAsia="Verdana" w:hAnsi="Verdana"/>
          <w:sz w:val="18"/>
          <w:szCs w:val="18"/>
          <w:color w:val="13284B"/>
        </w:rPr>
        <w:t>NDA submission for obefazimod in UC - Q4 2026 (subject to positive data)</w:t>
      </w:r>
    </w:p>
    <w:p>
      <w:pPr>
        <w:sectPr>
          <w:pgSz w:w="11900" w:h="16838" w:orient="portrait"/>
          <w:cols w:equalWidth="0" w:num="1">
            <w:col w:w="11240"/>
          </w:cols>
          <w:pgMar w:left="320" w:top="846" w:right="33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w w:val="96"/>
              </w:rPr>
              <w:t>Exhibit 99.1</w:t>
            </w:r>
          </w:p>
        </w:tc>
      </w:tr>
      <w:tr>
        <w:trPr>
          <w:trHeight w:val="567"/>
        </w:trPr>
        <w:tc>
          <w:tcPr>
            <w:tcW w:w="7360" w:type="dxa"/>
            <w:vAlign w:val="bottom"/>
          </w:tcPr>
          <w:p>
            <w:pPr>
              <w:spacing w:after="0"/>
              <w:rPr>
                <w:sz w:val="20"/>
                <w:szCs w:val="20"/>
                <w:color w:val="auto"/>
              </w:rPr>
            </w:pPr>
            <w:r>
              <w:rPr>
                <w:rFonts w:ascii="Verdana" w:cs="Verdana" w:eastAsia="Verdana" w:hAnsi="Verdana"/>
                <w:sz w:val="18"/>
                <w:szCs w:val="18"/>
                <w:b w:val="1"/>
                <w:bCs w:val="1"/>
                <w:color w:val="614DD1"/>
              </w:rPr>
              <w:t>First Quarter 2026 Financial Results (IFRS figures)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6"/>
        </w:trPr>
        <w:tc>
          <w:tcPr>
            <w:tcW w:w="7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r>
      <w:tr>
        <w:trPr>
          <w:trHeight w:val="204"/>
        </w:trPr>
        <w:tc>
          <w:tcPr>
            <w:tcW w:w="7360" w:type="dxa"/>
            <w:vAlign w:val="bottom"/>
            <w:tcBorders>
              <w:left w:val="single" w:sz="8" w:color="auto"/>
            </w:tcBorders>
            <w:shd w:val="clear" w:color="auto" w:fill="D2D0EE"/>
          </w:tcPr>
          <w:p>
            <w:pPr>
              <w:ind w:left="40"/>
              <w:spacing w:after="0" w:line="204" w:lineRule="exact"/>
              <w:rPr>
                <w:sz w:val="20"/>
                <w:szCs w:val="20"/>
                <w:color w:val="auto"/>
              </w:rPr>
            </w:pPr>
            <w:r>
              <w:rPr>
                <w:rFonts w:ascii="Verdana" w:cs="Verdana" w:eastAsia="Verdana" w:hAnsi="Verdana"/>
                <w:sz w:val="18"/>
                <w:szCs w:val="18"/>
                <w:b w:val="1"/>
                <w:bCs w:val="1"/>
                <w:color w:val="auto"/>
              </w:rPr>
              <w:t>Statement of Cash Flows</w:t>
            </w:r>
          </w:p>
        </w:tc>
        <w:tc>
          <w:tcPr>
            <w:tcW w:w="140" w:type="dxa"/>
            <w:vAlign w:val="bottom"/>
            <w:shd w:val="clear" w:color="auto" w:fill="D2D0EE"/>
          </w:tcPr>
          <w:p>
            <w:pPr>
              <w:spacing w:after="0"/>
              <w:rPr>
                <w:sz w:val="17"/>
                <w:szCs w:val="17"/>
                <w:color w:val="auto"/>
              </w:rPr>
            </w:pPr>
          </w:p>
        </w:tc>
        <w:tc>
          <w:tcPr>
            <w:tcW w:w="3760" w:type="dxa"/>
            <w:vAlign w:val="bottom"/>
            <w:tcBorders>
              <w:right w:val="single" w:sz="8" w:color="auto"/>
            </w:tcBorders>
            <w:gridSpan w:val="8"/>
            <w:shd w:val="clear" w:color="auto" w:fill="D2D0EE"/>
          </w:tcPr>
          <w:p>
            <w:pPr>
              <w:jc w:val="center"/>
              <w:ind w:right="140"/>
              <w:spacing w:after="0" w:line="204" w:lineRule="exact"/>
              <w:rPr>
                <w:sz w:val="20"/>
                <w:szCs w:val="20"/>
                <w:color w:val="auto"/>
              </w:rPr>
            </w:pPr>
            <w:r>
              <w:rPr>
                <w:rFonts w:ascii="Verdana" w:cs="Verdana" w:eastAsia="Verdana" w:hAnsi="Verdana"/>
                <w:sz w:val="18"/>
                <w:szCs w:val="18"/>
                <w:b w:val="1"/>
                <w:bCs w:val="1"/>
                <w:color w:val="auto"/>
                <w:w w:val="99"/>
              </w:rPr>
              <w:t>For the three months ended March</w:t>
            </w:r>
          </w:p>
        </w:tc>
      </w:tr>
      <w:tr>
        <w:trPr>
          <w:trHeight w:val="242"/>
        </w:trPr>
        <w:tc>
          <w:tcPr>
            <w:tcW w:w="7360" w:type="dxa"/>
            <w:vAlign w:val="bottom"/>
            <w:tcBorders>
              <w:left w:val="single" w:sz="8" w:color="auto"/>
              <w:bottom w:val="single" w:sz="8" w:color="D2D0EE"/>
            </w:tcBorders>
            <w:shd w:val="clear" w:color="auto" w:fill="D2D0EE"/>
          </w:tcPr>
          <w:p>
            <w:pPr>
              <w:spacing w:after="0"/>
              <w:rPr>
                <w:sz w:val="21"/>
                <w:szCs w:val="21"/>
                <w:color w:val="auto"/>
              </w:rPr>
            </w:pPr>
          </w:p>
        </w:tc>
        <w:tc>
          <w:tcPr>
            <w:tcW w:w="140" w:type="dxa"/>
            <w:vAlign w:val="bottom"/>
            <w:tcBorders>
              <w:bottom w:val="single" w:sz="8" w:color="D2D0EE"/>
            </w:tcBorders>
            <w:shd w:val="clear" w:color="auto" w:fill="D2D0EE"/>
          </w:tcPr>
          <w:p>
            <w:pPr>
              <w:spacing w:after="0"/>
              <w:rPr>
                <w:sz w:val="21"/>
                <w:szCs w:val="21"/>
                <w:color w:val="auto"/>
              </w:rPr>
            </w:pPr>
          </w:p>
        </w:tc>
        <w:tc>
          <w:tcPr>
            <w:tcW w:w="2440" w:type="dxa"/>
            <w:vAlign w:val="bottom"/>
            <w:tcBorders>
              <w:bottom w:val="single" w:sz="8" w:color="auto"/>
            </w:tcBorders>
            <w:gridSpan w:val="6"/>
            <w:shd w:val="clear" w:color="auto" w:fill="D2D0EE"/>
          </w:tcPr>
          <w:p>
            <w:pPr>
              <w:jc w:val="right"/>
              <w:ind w:right="480"/>
              <w:spacing w:after="0"/>
              <w:rPr>
                <w:sz w:val="20"/>
                <w:szCs w:val="20"/>
                <w:color w:val="auto"/>
              </w:rPr>
            </w:pPr>
            <w:r>
              <w:rPr>
                <w:rFonts w:ascii="Verdana" w:cs="Verdana" w:eastAsia="Verdana" w:hAnsi="Verdana"/>
                <w:sz w:val="18"/>
                <w:szCs w:val="18"/>
                <w:b w:val="1"/>
                <w:bCs w:val="1"/>
                <w:color w:val="auto"/>
              </w:rPr>
              <w:t>31,</w:t>
            </w:r>
          </w:p>
        </w:tc>
        <w:tc>
          <w:tcPr>
            <w:tcW w:w="1180" w:type="dxa"/>
            <w:vAlign w:val="bottom"/>
            <w:tcBorders>
              <w:bottom w:val="single" w:sz="8" w:color="auto"/>
            </w:tcBorders>
            <w:shd w:val="clear" w:color="auto" w:fill="D2D0EE"/>
          </w:tcPr>
          <w:p>
            <w:pPr>
              <w:spacing w:after="0"/>
              <w:rPr>
                <w:sz w:val="21"/>
                <w:szCs w:val="21"/>
                <w:color w:val="auto"/>
              </w:rPr>
            </w:pPr>
          </w:p>
        </w:tc>
        <w:tc>
          <w:tcPr>
            <w:tcW w:w="140" w:type="dxa"/>
            <w:vAlign w:val="bottom"/>
            <w:tcBorders>
              <w:bottom w:val="single" w:sz="8" w:color="D2D0EE"/>
              <w:right w:val="single" w:sz="8" w:color="auto"/>
            </w:tcBorders>
            <w:shd w:val="clear" w:color="auto" w:fill="D2D0EE"/>
          </w:tcPr>
          <w:p>
            <w:pPr>
              <w:spacing w:after="0"/>
              <w:rPr>
                <w:sz w:val="21"/>
                <w:szCs w:val="21"/>
                <w:color w:val="auto"/>
              </w:rPr>
            </w:pPr>
          </w:p>
        </w:tc>
      </w:tr>
      <w:tr>
        <w:trPr>
          <w:trHeight w:val="243"/>
        </w:trPr>
        <w:tc>
          <w:tcPr>
            <w:tcW w:w="7360" w:type="dxa"/>
            <w:vAlign w:val="bottom"/>
            <w:tcBorders>
              <w:left w:val="single" w:sz="8" w:color="auto"/>
            </w:tcBorders>
            <w:shd w:val="clear" w:color="auto" w:fill="D2D0EE"/>
          </w:tcPr>
          <w:p>
            <w:pPr>
              <w:ind w:left="40"/>
              <w:spacing w:after="0"/>
              <w:rPr>
                <w:sz w:val="20"/>
                <w:szCs w:val="20"/>
                <w:color w:val="auto"/>
              </w:rPr>
            </w:pPr>
            <w:r>
              <w:rPr>
                <w:rFonts w:ascii="Verdana" w:cs="Verdana" w:eastAsia="Verdana" w:hAnsi="Verdana"/>
                <w:sz w:val="18"/>
                <w:szCs w:val="18"/>
                <w:i w:val="1"/>
                <w:iCs w:val="1"/>
                <w:color w:val="auto"/>
              </w:rPr>
              <w:t>in millions of euros</w:t>
            </w:r>
          </w:p>
        </w:tc>
        <w:tc>
          <w:tcPr>
            <w:tcW w:w="1880" w:type="dxa"/>
            <w:vAlign w:val="bottom"/>
            <w:gridSpan w:val="3"/>
            <w:shd w:val="clear" w:color="auto" w:fill="D2D0EE"/>
          </w:tcPr>
          <w:p>
            <w:pPr>
              <w:jc w:val="right"/>
              <w:ind w:right="530"/>
              <w:spacing w:after="0"/>
              <w:rPr>
                <w:sz w:val="20"/>
                <w:szCs w:val="20"/>
                <w:color w:val="auto"/>
              </w:rPr>
            </w:pPr>
            <w:r>
              <w:rPr>
                <w:rFonts w:ascii="Verdana" w:cs="Verdana" w:eastAsia="Verdana" w:hAnsi="Verdana"/>
                <w:sz w:val="18"/>
                <w:szCs w:val="18"/>
                <w:b w:val="1"/>
                <w:bCs w:val="1"/>
                <w:color w:val="auto"/>
              </w:rPr>
              <w:t>2025</w:t>
            </w:r>
          </w:p>
        </w:tc>
        <w:tc>
          <w:tcPr>
            <w:tcW w:w="80" w:type="dxa"/>
            <w:vAlign w:val="bottom"/>
            <w:shd w:val="clear" w:color="auto" w:fill="D2D0EE"/>
          </w:tcPr>
          <w:p>
            <w:pPr>
              <w:spacing w:after="0"/>
              <w:rPr>
                <w:sz w:val="21"/>
                <w:szCs w:val="21"/>
                <w:color w:val="auto"/>
              </w:rPr>
            </w:pPr>
          </w:p>
        </w:tc>
        <w:tc>
          <w:tcPr>
            <w:tcW w:w="40" w:type="dxa"/>
            <w:vAlign w:val="bottom"/>
            <w:shd w:val="clear" w:color="auto" w:fill="D2D0EE"/>
          </w:tcPr>
          <w:p>
            <w:pPr>
              <w:spacing w:after="0"/>
              <w:rPr>
                <w:sz w:val="21"/>
                <w:szCs w:val="21"/>
                <w:color w:val="auto"/>
              </w:rPr>
            </w:pPr>
          </w:p>
        </w:tc>
        <w:tc>
          <w:tcPr>
            <w:tcW w:w="80" w:type="dxa"/>
            <w:vAlign w:val="bottom"/>
            <w:shd w:val="clear" w:color="auto" w:fill="D2D0EE"/>
          </w:tcPr>
          <w:p>
            <w:pPr>
              <w:spacing w:after="0"/>
              <w:rPr>
                <w:sz w:val="21"/>
                <w:szCs w:val="21"/>
                <w:color w:val="auto"/>
              </w:rPr>
            </w:pPr>
          </w:p>
        </w:tc>
        <w:tc>
          <w:tcPr>
            <w:tcW w:w="500" w:type="dxa"/>
            <w:vAlign w:val="bottom"/>
            <w:shd w:val="clear" w:color="auto" w:fill="D2D0EE"/>
          </w:tcPr>
          <w:p>
            <w:pPr>
              <w:spacing w:after="0"/>
              <w:rPr>
                <w:sz w:val="21"/>
                <w:szCs w:val="21"/>
                <w:color w:val="auto"/>
              </w:rPr>
            </w:pPr>
          </w:p>
        </w:tc>
        <w:tc>
          <w:tcPr>
            <w:tcW w:w="1180" w:type="dxa"/>
            <w:vAlign w:val="bottom"/>
            <w:shd w:val="clear" w:color="auto" w:fill="D2D0EE"/>
          </w:tcPr>
          <w:p>
            <w:pPr>
              <w:jc w:val="right"/>
              <w:ind w:right="532"/>
              <w:spacing w:after="0"/>
              <w:rPr>
                <w:sz w:val="20"/>
                <w:szCs w:val="20"/>
                <w:color w:val="auto"/>
              </w:rPr>
            </w:pPr>
            <w:r>
              <w:rPr>
                <w:rFonts w:ascii="Verdana" w:cs="Verdana" w:eastAsia="Verdana" w:hAnsi="Verdana"/>
                <w:sz w:val="18"/>
                <w:szCs w:val="18"/>
                <w:b w:val="1"/>
                <w:bCs w:val="1"/>
                <w:color w:val="auto"/>
              </w:rPr>
              <w:t>2026</w:t>
            </w:r>
          </w:p>
        </w:tc>
        <w:tc>
          <w:tcPr>
            <w:tcW w:w="140" w:type="dxa"/>
            <w:vAlign w:val="bottom"/>
            <w:tcBorders>
              <w:right w:val="single" w:sz="8" w:color="auto"/>
            </w:tcBorders>
            <w:shd w:val="clear" w:color="auto" w:fill="D2D0EE"/>
          </w:tcPr>
          <w:p>
            <w:pPr>
              <w:spacing w:after="0"/>
              <w:rPr>
                <w:sz w:val="21"/>
                <w:szCs w:val="21"/>
                <w:color w:val="auto"/>
              </w:rPr>
            </w:pPr>
          </w:p>
        </w:tc>
      </w:tr>
      <w:tr>
        <w:trPr>
          <w:trHeight w:val="218"/>
        </w:trPr>
        <w:tc>
          <w:tcPr>
            <w:tcW w:w="7360" w:type="dxa"/>
            <w:vAlign w:val="bottom"/>
            <w:tcBorders>
              <w:left w:val="single" w:sz="8" w:color="auto"/>
            </w:tcBorders>
          </w:tcPr>
          <w:p>
            <w:pPr>
              <w:ind w:left="40"/>
              <w:spacing w:after="0" w:line="217" w:lineRule="exact"/>
              <w:rPr>
                <w:sz w:val="20"/>
                <w:szCs w:val="20"/>
                <w:color w:val="auto"/>
              </w:rPr>
            </w:pPr>
            <w:r>
              <w:rPr>
                <w:rFonts w:ascii="Verdana" w:cs="Verdana" w:eastAsia="Verdana" w:hAnsi="Verdana"/>
                <w:sz w:val="18"/>
                <w:szCs w:val="18"/>
                <w:color w:val="auto"/>
              </w:rPr>
              <w:t>Cash flows provided by (used in) operating activities</w:t>
            </w:r>
          </w:p>
        </w:tc>
        <w:tc>
          <w:tcPr>
            <w:tcW w:w="140" w:type="dxa"/>
            <w:vAlign w:val="bottom"/>
          </w:tcPr>
          <w:p>
            <w:pPr>
              <w:spacing w:after="0"/>
              <w:rPr>
                <w:sz w:val="18"/>
                <w:szCs w:val="18"/>
                <w:color w:val="auto"/>
              </w:rPr>
            </w:pPr>
          </w:p>
        </w:tc>
        <w:tc>
          <w:tcPr>
            <w:tcW w:w="1740" w:type="dxa"/>
            <w:vAlign w:val="bottom"/>
            <w:tcBorders>
              <w:top w:val="single" w:sz="8" w:color="auto"/>
            </w:tcBorders>
            <w:gridSpan w:val="2"/>
          </w:tcPr>
          <w:p>
            <w:pPr>
              <w:jc w:val="right"/>
              <w:spacing w:after="0" w:line="217" w:lineRule="exact"/>
              <w:rPr>
                <w:sz w:val="20"/>
                <w:szCs w:val="20"/>
                <w:color w:val="auto"/>
              </w:rPr>
            </w:pPr>
            <w:r>
              <w:rPr>
                <w:rFonts w:ascii="Verdana" w:cs="Verdana" w:eastAsia="Verdana" w:hAnsi="Verdana"/>
                <w:sz w:val="18"/>
                <w:szCs w:val="18"/>
                <w:color w:val="auto"/>
              </w:rPr>
              <w:t>(33.3)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line="217" w:lineRule="exact"/>
              <w:rPr>
                <w:sz w:val="20"/>
                <w:szCs w:val="20"/>
                <w:color w:val="auto"/>
              </w:rPr>
            </w:pPr>
            <w:r>
              <w:rPr>
                <w:rFonts w:ascii="Verdana" w:cs="Verdana" w:eastAsia="Verdana" w:hAnsi="Verdana"/>
                <w:sz w:val="18"/>
                <w:szCs w:val="18"/>
                <w:color w:val="auto"/>
              </w:rPr>
              <w:t>(50.5)</w:t>
            </w:r>
          </w:p>
        </w:tc>
        <w:tc>
          <w:tcPr>
            <w:tcW w:w="140" w:type="dxa"/>
            <w:vAlign w:val="bottom"/>
            <w:tcBorders>
              <w:right w:val="single" w:sz="8" w:color="auto"/>
            </w:tcBorders>
          </w:tcPr>
          <w:p>
            <w:pPr>
              <w:spacing w:after="0"/>
              <w:rPr>
                <w:sz w:val="18"/>
                <w:szCs w:val="18"/>
                <w:color w:val="auto"/>
              </w:rPr>
            </w:pPr>
          </w:p>
        </w:tc>
      </w:tr>
      <w:tr>
        <w:trPr>
          <w:trHeight w:val="230"/>
        </w:trPr>
        <w:tc>
          <w:tcPr>
            <w:tcW w:w="736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Cash flows provided by (used in) investing activities</w:t>
            </w:r>
          </w:p>
        </w:tc>
        <w:tc>
          <w:tcPr>
            <w:tcW w:w="1880" w:type="dxa"/>
            <w:vAlign w:val="bottom"/>
            <w:gridSpan w:val="3"/>
          </w:tcPr>
          <w:p>
            <w:pPr>
              <w:jc w:val="right"/>
              <w:spacing w:after="0"/>
              <w:rPr>
                <w:sz w:val="20"/>
                <w:szCs w:val="20"/>
                <w:color w:val="auto"/>
              </w:rPr>
            </w:pPr>
            <w:r>
              <w:rPr>
                <w:rFonts w:ascii="Verdana" w:cs="Verdana" w:eastAsia="Verdana" w:hAnsi="Verdana"/>
                <w:sz w:val="18"/>
                <w:szCs w:val="18"/>
                <w:color w:val="auto"/>
              </w:rPr>
              <w:t>1.1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0.5</w:t>
            </w:r>
          </w:p>
        </w:tc>
        <w:tc>
          <w:tcPr>
            <w:tcW w:w="140" w:type="dxa"/>
            <w:vAlign w:val="bottom"/>
            <w:tcBorders>
              <w:right w:val="single" w:sz="8" w:color="auto"/>
            </w:tcBorders>
          </w:tcPr>
          <w:p>
            <w:pPr>
              <w:spacing w:after="0"/>
              <w:rPr>
                <w:sz w:val="19"/>
                <w:szCs w:val="19"/>
                <w:color w:val="auto"/>
              </w:rPr>
            </w:pPr>
          </w:p>
        </w:tc>
      </w:tr>
      <w:tr>
        <w:trPr>
          <w:trHeight w:val="235"/>
        </w:trPr>
        <w:tc>
          <w:tcPr>
            <w:tcW w:w="736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Cash flows provided by (used in) financing activities</w:t>
            </w:r>
          </w:p>
        </w:tc>
        <w:tc>
          <w:tcPr>
            <w:tcW w:w="1880" w:type="dxa"/>
            <w:vAlign w:val="bottom"/>
            <w:gridSpan w:val="3"/>
          </w:tcPr>
          <w:p>
            <w:pPr>
              <w:jc w:val="right"/>
              <w:spacing w:after="0"/>
              <w:rPr>
                <w:sz w:val="20"/>
                <w:szCs w:val="20"/>
                <w:color w:val="auto"/>
              </w:rPr>
            </w:pPr>
            <w:r>
              <w:rPr>
                <w:rFonts w:ascii="Verdana" w:cs="Verdana" w:eastAsia="Verdana" w:hAnsi="Verdana"/>
                <w:sz w:val="18"/>
                <w:szCs w:val="18"/>
                <w:color w:val="auto"/>
              </w:rPr>
              <w:t>(7.8)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0.1</w:t>
            </w:r>
          </w:p>
        </w:tc>
        <w:tc>
          <w:tcPr>
            <w:tcW w:w="140" w:type="dxa"/>
            <w:vAlign w:val="bottom"/>
            <w:tcBorders>
              <w:right w:val="single" w:sz="8" w:color="auto"/>
            </w:tcBorders>
          </w:tcPr>
          <w:p>
            <w:pPr>
              <w:spacing w:after="0"/>
              <w:rPr>
                <w:sz w:val="20"/>
                <w:szCs w:val="20"/>
                <w:color w:val="auto"/>
              </w:rPr>
            </w:pPr>
          </w:p>
        </w:tc>
      </w:tr>
      <w:tr>
        <w:trPr>
          <w:trHeight w:val="373"/>
        </w:trPr>
        <w:tc>
          <w:tcPr>
            <w:tcW w:w="736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Effect of movements in exchange rates on cash held</w:t>
            </w:r>
          </w:p>
        </w:tc>
        <w:tc>
          <w:tcPr>
            <w:tcW w:w="1880" w:type="dxa"/>
            <w:vAlign w:val="bottom"/>
            <w:gridSpan w:val="3"/>
          </w:tcPr>
          <w:p>
            <w:pPr>
              <w:jc w:val="right"/>
              <w:spacing w:after="0"/>
              <w:rPr>
                <w:sz w:val="20"/>
                <w:szCs w:val="20"/>
                <w:color w:val="auto"/>
              </w:rPr>
            </w:pPr>
            <w:r>
              <w:rPr>
                <w:rFonts w:ascii="Verdana" w:cs="Verdana" w:eastAsia="Verdana" w:hAnsi="Verdana"/>
                <w:sz w:val="18"/>
                <w:szCs w:val="18"/>
                <w:color w:val="auto"/>
              </w:rPr>
              <w:t>(0.7)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7.4</w:t>
            </w:r>
          </w:p>
        </w:tc>
        <w:tc>
          <w:tcPr>
            <w:tcW w:w="140" w:type="dxa"/>
            <w:vAlign w:val="bottom"/>
            <w:tcBorders>
              <w:right w:val="single" w:sz="8" w:color="auto"/>
            </w:tcBorders>
          </w:tcPr>
          <w:p>
            <w:pPr>
              <w:spacing w:after="0"/>
              <w:rPr>
                <w:sz w:val="24"/>
                <w:szCs w:val="24"/>
                <w:color w:val="auto"/>
              </w:rPr>
            </w:pPr>
          </w:p>
        </w:tc>
      </w:tr>
      <w:tr>
        <w:trPr>
          <w:trHeight w:val="235"/>
        </w:trPr>
        <w:tc>
          <w:tcPr>
            <w:tcW w:w="736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Revaluation of cash equivalents measured at fair value</w:t>
            </w:r>
          </w:p>
        </w:tc>
        <w:tc>
          <w:tcPr>
            <w:tcW w:w="1880" w:type="dxa"/>
            <w:vAlign w:val="bottom"/>
            <w:gridSpan w:val="3"/>
          </w:tcPr>
          <w:p>
            <w:pPr>
              <w:jc w:val="right"/>
              <w:spacing w:after="0"/>
              <w:rPr>
                <w:sz w:val="20"/>
                <w:szCs w:val="20"/>
                <w:color w:val="auto"/>
              </w:rPr>
            </w:pPr>
            <w:r>
              <w:rPr>
                <w:rFonts w:ascii="Verdana" w:cs="Verdana" w:eastAsia="Verdana" w:hAnsi="Verdana"/>
                <w:sz w:val="18"/>
                <w:szCs w:val="18"/>
                <w:color w:val="auto"/>
              </w:rPr>
              <w:t>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3.3</w:t>
            </w:r>
          </w:p>
        </w:tc>
        <w:tc>
          <w:tcPr>
            <w:tcW w:w="140" w:type="dxa"/>
            <w:vAlign w:val="bottom"/>
            <w:tcBorders>
              <w:right w:val="single" w:sz="8" w:color="auto"/>
            </w:tcBorders>
          </w:tcPr>
          <w:p>
            <w:pPr>
              <w:spacing w:after="0"/>
              <w:rPr>
                <w:sz w:val="20"/>
                <w:szCs w:val="20"/>
                <w:color w:val="auto"/>
              </w:rPr>
            </w:pPr>
          </w:p>
        </w:tc>
      </w:tr>
      <w:tr>
        <w:trPr>
          <w:trHeight w:val="148"/>
        </w:trPr>
        <w:tc>
          <w:tcPr>
            <w:tcW w:w="736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r>
      <w:tr>
        <w:trPr>
          <w:trHeight w:val="229"/>
        </w:trPr>
        <w:tc>
          <w:tcPr>
            <w:tcW w:w="7360" w:type="dxa"/>
            <w:vAlign w:val="bottom"/>
            <w:tcBorders>
              <w:left w:val="single" w:sz="8" w:color="auto"/>
              <w:bottom w:val="single" w:sz="8" w:color="auto"/>
            </w:tcBorders>
            <w:shd w:val="clear" w:color="auto" w:fill="D2D0EE"/>
          </w:tcPr>
          <w:p>
            <w:pPr>
              <w:ind w:left="40"/>
              <w:spacing w:after="0"/>
              <w:rPr>
                <w:sz w:val="20"/>
                <w:szCs w:val="20"/>
                <w:color w:val="auto"/>
              </w:rPr>
            </w:pPr>
            <w:r>
              <w:rPr>
                <w:rFonts w:ascii="Verdana" w:cs="Verdana" w:eastAsia="Verdana" w:hAnsi="Verdana"/>
                <w:sz w:val="18"/>
                <w:szCs w:val="18"/>
                <w:b w:val="1"/>
                <w:bCs w:val="1"/>
                <w:color w:val="auto"/>
              </w:rPr>
              <w:t>Increase (decrease) in cash and cash equivalents</w:t>
            </w:r>
          </w:p>
        </w:tc>
        <w:tc>
          <w:tcPr>
            <w:tcW w:w="1880" w:type="dxa"/>
            <w:vAlign w:val="bottom"/>
            <w:tcBorders>
              <w:bottom w:val="single" w:sz="8" w:color="auto"/>
            </w:tcBorders>
            <w:gridSpan w:val="3"/>
            <w:shd w:val="clear" w:color="auto" w:fill="D2D0EE"/>
          </w:tcPr>
          <w:p>
            <w:pPr>
              <w:jc w:val="right"/>
              <w:spacing w:after="0"/>
              <w:rPr>
                <w:sz w:val="20"/>
                <w:szCs w:val="20"/>
                <w:color w:val="auto"/>
              </w:rPr>
            </w:pPr>
            <w:r>
              <w:rPr>
                <w:rFonts w:ascii="Verdana" w:cs="Verdana" w:eastAsia="Verdana" w:hAnsi="Verdana"/>
                <w:sz w:val="18"/>
                <w:szCs w:val="18"/>
                <w:b w:val="1"/>
                <w:bCs w:val="1"/>
                <w:color w:val="auto"/>
              </w:rPr>
              <w:t>(40.6)</w:t>
            </w:r>
          </w:p>
        </w:tc>
        <w:tc>
          <w:tcPr>
            <w:tcW w:w="80" w:type="dxa"/>
            <w:vAlign w:val="bottom"/>
            <w:tcBorders>
              <w:bottom w:val="single" w:sz="8" w:color="auto"/>
            </w:tcBorders>
            <w:shd w:val="clear" w:color="auto" w:fill="D2D0EE"/>
          </w:tcPr>
          <w:p>
            <w:pPr>
              <w:spacing w:after="0"/>
              <w:rPr>
                <w:sz w:val="19"/>
                <w:szCs w:val="19"/>
                <w:color w:val="auto"/>
              </w:rPr>
            </w:pPr>
          </w:p>
        </w:tc>
        <w:tc>
          <w:tcPr>
            <w:tcW w:w="40" w:type="dxa"/>
            <w:vAlign w:val="bottom"/>
            <w:tcBorders>
              <w:bottom w:val="single" w:sz="8" w:color="auto"/>
            </w:tcBorders>
            <w:shd w:val="clear" w:color="auto" w:fill="D2D0EE"/>
          </w:tcPr>
          <w:p>
            <w:pPr>
              <w:spacing w:after="0"/>
              <w:rPr>
                <w:sz w:val="19"/>
                <w:szCs w:val="19"/>
                <w:color w:val="auto"/>
              </w:rPr>
            </w:pPr>
          </w:p>
        </w:tc>
        <w:tc>
          <w:tcPr>
            <w:tcW w:w="80" w:type="dxa"/>
            <w:vAlign w:val="bottom"/>
            <w:tcBorders>
              <w:bottom w:val="single" w:sz="8" w:color="auto"/>
            </w:tcBorders>
            <w:shd w:val="clear" w:color="auto" w:fill="D2D0EE"/>
          </w:tcPr>
          <w:p>
            <w:pPr>
              <w:spacing w:after="0"/>
              <w:rPr>
                <w:sz w:val="19"/>
                <w:szCs w:val="19"/>
                <w:color w:val="auto"/>
              </w:rPr>
            </w:pPr>
          </w:p>
        </w:tc>
        <w:tc>
          <w:tcPr>
            <w:tcW w:w="500" w:type="dxa"/>
            <w:vAlign w:val="bottom"/>
            <w:tcBorders>
              <w:bottom w:val="single" w:sz="8" w:color="auto"/>
            </w:tcBorders>
            <w:shd w:val="clear" w:color="auto" w:fill="D2D0EE"/>
          </w:tcPr>
          <w:p>
            <w:pPr>
              <w:spacing w:after="0"/>
              <w:rPr>
                <w:sz w:val="19"/>
                <w:szCs w:val="19"/>
                <w:color w:val="auto"/>
              </w:rPr>
            </w:pPr>
          </w:p>
        </w:tc>
        <w:tc>
          <w:tcPr>
            <w:tcW w:w="1180" w:type="dxa"/>
            <w:vAlign w:val="bottom"/>
            <w:tcBorders>
              <w:bottom w:val="single" w:sz="8" w:color="auto"/>
            </w:tcBorders>
            <w:shd w:val="clear" w:color="auto" w:fill="D2D0EE"/>
          </w:tcPr>
          <w:p>
            <w:pPr>
              <w:jc w:val="right"/>
              <w:spacing w:after="0"/>
              <w:rPr>
                <w:sz w:val="20"/>
                <w:szCs w:val="20"/>
                <w:color w:val="auto"/>
              </w:rPr>
            </w:pPr>
            <w:r>
              <w:rPr>
                <w:rFonts w:ascii="Verdana" w:cs="Verdana" w:eastAsia="Verdana" w:hAnsi="Verdana"/>
                <w:sz w:val="18"/>
                <w:szCs w:val="18"/>
                <w:b w:val="1"/>
                <w:bCs w:val="1"/>
                <w:color w:val="auto"/>
              </w:rPr>
              <w:t>(39.3)</w:t>
            </w:r>
          </w:p>
        </w:tc>
        <w:tc>
          <w:tcPr>
            <w:tcW w:w="140" w:type="dxa"/>
            <w:vAlign w:val="bottom"/>
            <w:tcBorders>
              <w:bottom w:val="single" w:sz="8" w:color="auto"/>
              <w:right w:val="single" w:sz="8" w:color="auto"/>
            </w:tcBorders>
            <w:shd w:val="clear" w:color="auto" w:fill="D2D0EE"/>
          </w:tcPr>
          <w:p>
            <w:pPr>
              <w:spacing w:after="0"/>
              <w:rPr>
                <w:sz w:val="19"/>
                <w:szCs w:val="19"/>
                <w:color w:val="auto"/>
              </w:rPr>
            </w:pPr>
          </w:p>
        </w:tc>
      </w:tr>
      <w:tr>
        <w:trPr>
          <w:trHeight w:val="358"/>
        </w:trPr>
        <w:tc>
          <w:tcPr>
            <w:tcW w:w="7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gridSpan w:val="2"/>
          </w:tcPr>
          <w:p>
            <w:pPr>
              <w:spacing w:after="0"/>
              <w:rPr>
                <w:sz w:val="24"/>
                <w:szCs w:val="24"/>
                <w:color w:val="auto"/>
              </w:rPr>
            </w:pPr>
          </w:p>
        </w:tc>
        <w:tc>
          <w:tcPr>
            <w:tcW w:w="1820" w:type="dxa"/>
            <w:vAlign w:val="bottom"/>
            <w:tcBorders>
              <w:bottom w:val="single" w:sz="8" w:color="auto"/>
            </w:tcBorders>
            <w:gridSpan w:val="3"/>
          </w:tcPr>
          <w:p>
            <w:pPr>
              <w:spacing w:after="0"/>
              <w:rPr>
                <w:sz w:val="24"/>
                <w:szCs w:val="24"/>
                <w:color w:val="auto"/>
              </w:rPr>
            </w:pPr>
          </w:p>
        </w:tc>
      </w:tr>
      <w:tr>
        <w:trPr>
          <w:trHeight w:val="204"/>
        </w:trPr>
        <w:tc>
          <w:tcPr>
            <w:tcW w:w="7360" w:type="dxa"/>
            <w:vAlign w:val="bottom"/>
            <w:tcBorders>
              <w:left w:val="single" w:sz="8" w:color="auto"/>
            </w:tcBorders>
            <w:shd w:val="clear" w:color="auto" w:fill="D2D0EE"/>
          </w:tcPr>
          <w:p>
            <w:pPr>
              <w:ind w:left="40"/>
              <w:spacing w:after="0" w:line="204" w:lineRule="exact"/>
              <w:rPr>
                <w:sz w:val="20"/>
                <w:szCs w:val="20"/>
                <w:color w:val="auto"/>
              </w:rPr>
            </w:pPr>
            <w:r>
              <w:rPr>
                <w:rFonts w:ascii="Verdana" w:cs="Verdana" w:eastAsia="Verdana" w:hAnsi="Verdana"/>
                <w:sz w:val="18"/>
                <w:szCs w:val="18"/>
                <w:b w:val="1"/>
                <w:bCs w:val="1"/>
                <w:color w:val="auto"/>
              </w:rPr>
              <w:t>Statement of Income (Loss)</w:t>
            </w:r>
          </w:p>
        </w:tc>
        <w:tc>
          <w:tcPr>
            <w:tcW w:w="140" w:type="dxa"/>
            <w:vAlign w:val="bottom"/>
            <w:shd w:val="clear" w:color="auto" w:fill="D2D0EE"/>
          </w:tcPr>
          <w:p>
            <w:pPr>
              <w:spacing w:after="0"/>
              <w:rPr>
                <w:sz w:val="17"/>
                <w:szCs w:val="17"/>
                <w:color w:val="auto"/>
              </w:rPr>
            </w:pPr>
          </w:p>
        </w:tc>
        <w:tc>
          <w:tcPr>
            <w:tcW w:w="140" w:type="dxa"/>
            <w:vAlign w:val="bottom"/>
            <w:shd w:val="clear" w:color="auto" w:fill="D2D0EE"/>
          </w:tcPr>
          <w:p>
            <w:pPr>
              <w:spacing w:after="0"/>
              <w:rPr>
                <w:sz w:val="17"/>
                <w:szCs w:val="17"/>
                <w:color w:val="auto"/>
              </w:rPr>
            </w:pPr>
          </w:p>
        </w:tc>
        <w:tc>
          <w:tcPr>
            <w:tcW w:w="3620" w:type="dxa"/>
            <w:vAlign w:val="bottom"/>
            <w:tcBorders>
              <w:right w:val="single" w:sz="8" w:color="auto"/>
            </w:tcBorders>
            <w:gridSpan w:val="7"/>
            <w:shd w:val="clear" w:color="auto" w:fill="D2D0EE"/>
          </w:tcPr>
          <w:p>
            <w:pPr>
              <w:jc w:val="center"/>
              <w:ind w:right="120"/>
              <w:spacing w:after="0" w:line="204" w:lineRule="exact"/>
              <w:rPr>
                <w:sz w:val="20"/>
                <w:szCs w:val="20"/>
                <w:color w:val="auto"/>
              </w:rPr>
            </w:pPr>
            <w:r>
              <w:rPr>
                <w:rFonts w:ascii="Verdana" w:cs="Verdana" w:eastAsia="Verdana" w:hAnsi="Verdana"/>
                <w:sz w:val="18"/>
                <w:szCs w:val="18"/>
                <w:b w:val="1"/>
                <w:bCs w:val="1"/>
                <w:color w:val="auto"/>
                <w:w w:val="99"/>
              </w:rPr>
              <w:t>For the three months ended</w:t>
            </w:r>
          </w:p>
        </w:tc>
      </w:tr>
      <w:tr>
        <w:trPr>
          <w:trHeight w:val="242"/>
        </w:trPr>
        <w:tc>
          <w:tcPr>
            <w:tcW w:w="7360" w:type="dxa"/>
            <w:vAlign w:val="bottom"/>
            <w:tcBorders>
              <w:left w:val="single" w:sz="8" w:color="auto"/>
              <w:bottom w:val="single" w:sz="8" w:color="D2D0EE"/>
            </w:tcBorders>
            <w:shd w:val="clear" w:color="auto" w:fill="D2D0EE"/>
          </w:tcPr>
          <w:p>
            <w:pPr>
              <w:spacing w:after="0"/>
              <w:rPr>
                <w:sz w:val="21"/>
                <w:szCs w:val="21"/>
                <w:color w:val="auto"/>
              </w:rPr>
            </w:pPr>
          </w:p>
        </w:tc>
        <w:tc>
          <w:tcPr>
            <w:tcW w:w="140" w:type="dxa"/>
            <w:vAlign w:val="bottom"/>
            <w:tcBorders>
              <w:bottom w:val="single" w:sz="8" w:color="D2D0EE"/>
            </w:tcBorders>
            <w:shd w:val="clear" w:color="auto" w:fill="D2D0EE"/>
          </w:tcPr>
          <w:p>
            <w:pPr>
              <w:spacing w:after="0"/>
              <w:rPr>
                <w:sz w:val="21"/>
                <w:szCs w:val="21"/>
                <w:color w:val="auto"/>
              </w:rPr>
            </w:pPr>
          </w:p>
        </w:tc>
        <w:tc>
          <w:tcPr>
            <w:tcW w:w="140" w:type="dxa"/>
            <w:vAlign w:val="bottom"/>
            <w:tcBorders>
              <w:bottom w:val="single" w:sz="8" w:color="D2D0EE"/>
            </w:tcBorders>
            <w:shd w:val="clear" w:color="auto" w:fill="D2D0EE"/>
          </w:tcPr>
          <w:p>
            <w:pPr>
              <w:spacing w:after="0"/>
              <w:rPr>
                <w:sz w:val="21"/>
                <w:szCs w:val="21"/>
                <w:color w:val="auto"/>
              </w:rPr>
            </w:pPr>
          </w:p>
        </w:tc>
        <w:tc>
          <w:tcPr>
            <w:tcW w:w="2300" w:type="dxa"/>
            <w:vAlign w:val="bottom"/>
            <w:tcBorders>
              <w:bottom w:val="single" w:sz="8" w:color="auto"/>
            </w:tcBorders>
            <w:gridSpan w:val="5"/>
            <w:shd w:val="clear" w:color="auto" w:fill="D2D0EE"/>
          </w:tcPr>
          <w:p>
            <w:pPr>
              <w:jc w:val="center"/>
              <w:ind w:left="1090"/>
              <w:spacing w:after="0"/>
              <w:rPr>
                <w:sz w:val="20"/>
                <w:szCs w:val="20"/>
                <w:color w:val="auto"/>
              </w:rPr>
            </w:pPr>
            <w:r>
              <w:rPr>
                <w:rFonts w:ascii="Verdana" w:cs="Verdana" w:eastAsia="Verdana" w:hAnsi="Verdana"/>
                <w:sz w:val="18"/>
                <w:szCs w:val="18"/>
                <w:b w:val="1"/>
                <w:bCs w:val="1"/>
                <w:color w:val="auto"/>
              </w:rPr>
              <w:t>March 31,</w:t>
            </w:r>
          </w:p>
        </w:tc>
        <w:tc>
          <w:tcPr>
            <w:tcW w:w="1180" w:type="dxa"/>
            <w:vAlign w:val="bottom"/>
            <w:tcBorders>
              <w:bottom w:val="single" w:sz="8" w:color="auto"/>
            </w:tcBorders>
            <w:shd w:val="clear" w:color="auto" w:fill="D2D0EE"/>
          </w:tcPr>
          <w:p>
            <w:pPr>
              <w:spacing w:after="0"/>
              <w:rPr>
                <w:sz w:val="21"/>
                <w:szCs w:val="21"/>
                <w:color w:val="auto"/>
              </w:rPr>
            </w:pPr>
          </w:p>
        </w:tc>
        <w:tc>
          <w:tcPr>
            <w:tcW w:w="140" w:type="dxa"/>
            <w:vAlign w:val="bottom"/>
            <w:tcBorders>
              <w:bottom w:val="single" w:sz="8" w:color="D2D0EE"/>
              <w:right w:val="single" w:sz="8" w:color="auto"/>
            </w:tcBorders>
            <w:shd w:val="clear" w:color="auto" w:fill="D2D0EE"/>
          </w:tcPr>
          <w:p>
            <w:pPr>
              <w:spacing w:after="0"/>
              <w:rPr>
                <w:sz w:val="21"/>
                <w:szCs w:val="21"/>
                <w:color w:val="auto"/>
              </w:rPr>
            </w:pPr>
          </w:p>
        </w:tc>
      </w:tr>
      <w:tr>
        <w:trPr>
          <w:trHeight w:val="243"/>
        </w:trPr>
        <w:tc>
          <w:tcPr>
            <w:tcW w:w="7360" w:type="dxa"/>
            <w:vAlign w:val="bottom"/>
            <w:tcBorders>
              <w:left w:val="single" w:sz="8" w:color="auto"/>
            </w:tcBorders>
            <w:shd w:val="clear" w:color="auto" w:fill="D2D0EE"/>
          </w:tcPr>
          <w:p>
            <w:pPr>
              <w:ind w:left="40"/>
              <w:spacing w:after="0"/>
              <w:rPr>
                <w:sz w:val="20"/>
                <w:szCs w:val="20"/>
                <w:color w:val="auto"/>
              </w:rPr>
            </w:pPr>
            <w:r>
              <w:rPr>
                <w:rFonts w:ascii="Verdana" w:cs="Verdana" w:eastAsia="Verdana" w:hAnsi="Verdana"/>
                <w:sz w:val="18"/>
                <w:szCs w:val="18"/>
                <w:i w:val="1"/>
                <w:iCs w:val="1"/>
                <w:color w:val="auto"/>
              </w:rPr>
              <w:t>in millions of euros</w:t>
            </w:r>
          </w:p>
        </w:tc>
        <w:tc>
          <w:tcPr>
            <w:tcW w:w="140" w:type="dxa"/>
            <w:vAlign w:val="bottom"/>
            <w:shd w:val="clear" w:color="auto" w:fill="D2D0EE"/>
          </w:tcPr>
          <w:p>
            <w:pPr>
              <w:spacing w:after="0"/>
              <w:rPr>
                <w:sz w:val="21"/>
                <w:szCs w:val="21"/>
                <w:color w:val="auto"/>
              </w:rPr>
            </w:pPr>
          </w:p>
        </w:tc>
        <w:tc>
          <w:tcPr>
            <w:tcW w:w="140" w:type="dxa"/>
            <w:vAlign w:val="bottom"/>
            <w:shd w:val="clear" w:color="auto" w:fill="D2D0EE"/>
          </w:tcPr>
          <w:p>
            <w:pPr>
              <w:spacing w:after="0"/>
              <w:rPr>
                <w:sz w:val="21"/>
                <w:szCs w:val="21"/>
                <w:color w:val="auto"/>
              </w:rPr>
            </w:pPr>
          </w:p>
        </w:tc>
        <w:tc>
          <w:tcPr>
            <w:tcW w:w="1600" w:type="dxa"/>
            <w:vAlign w:val="bottom"/>
            <w:tcBorders>
              <w:bottom w:val="single" w:sz="8" w:color="auto"/>
            </w:tcBorders>
            <w:shd w:val="clear" w:color="auto" w:fill="D2D0EE"/>
          </w:tcPr>
          <w:p>
            <w:pPr>
              <w:jc w:val="right"/>
              <w:ind w:right="410"/>
              <w:spacing w:after="0"/>
              <w:rPr>
                <w:sz w:val="20"/>
                <w:szCs w:val="20"/>
                <w:color w:val="auto"/>
              </w:rPr>
            </w:pPr>
            <w:r>
              <w:rPr>
                <w:rFonts w:ascii="Verdana" w:cs="Verdana" w:eastAsia="Verdana" w:hAnsi="Verdana"/>
                <w:sz w:val="18"/>
                <w:szCs w:val="18"/>
                <w:b w:val="1"/>
                <w:bCs w:val="1"/>
                <w:color w:val="auto"/>
              </w:rPr>
              <w:t>2025</w:t>
            </w:r>
          </w:p>
        </w:tc>
        <w:tc>
          <w:tcPr>
            <w:tcW w:w="80" w:type="dxa"/>
            <w:vAlign w:val="bottom"/>
            <w:tcBorders>
              <w:bottom w:val="single" w:sz="8" w:color="auto"/>
            </w:tcBorders>
            <w:shd w:val="clear" w:color="auto" w:fill="D2D0EE"/>
          </w:tcPr>
          <w:p>
            <w:pPr>
              <w:spacing w:after="0"/>
              <w:rPr>
                <w:sz w:val="21"/>
                <w:szCs w:val="21"/>
                <w:color w:val="auto"/>
              </w:rPr>
            </w:pPr>
          </w:p>
        </w:tc>
        <w:tc>
          <w:tcPr>
            <w:tcW w:w="40" w:type="dxa"/>
            <w:vAlign w:val="bottom"/>
            <w:shd w:val="clear" w:color="auto" w:fill="D2D0EE"/>
          </w:tcPr>
          <w:p>
            <w:pPr>
              <w:spacing w:after="0"/>
              <w:rPr>
                <w:sz w:val="21"/>
                <w:szCs w:val="21"/>
                <w:color w:val="auto"/>
              </w:rPr>
            </w:pPr>
          </w:p>
        </w:tc>
        <w:tc>
          <w:tcPr>
            <w:tcW w:w="80" w:type="dxa"/>
            <w:vAlign w:val="bottom"/>
            <w:shd w:val="clear" w:color="auto" w:fill="D2D0EE"/>
          </w:tcPr>
          <w:p>
            <w:pPr>
              <w:spacing w:after="0"/>
              <w:rPr>
                <w:sz w:val="21"/>
                <w:szCs w:val="21"/>
                <w:color w:val="auto"/>
              </w:rPr>
            </w:pPr>
          </w:p>
        </w:tc>
        <w:tc>
          <w:tcPr>
            <w:tcW w:w="500" w:type="dxa"/>
            <w:vAlign w:val="bottom"/>
            <w:tcBorders>
              <w:bottom w:val="single" w:sz="8" w:color="auto"/>
            </w:tcBorders>
            <w:shd w:val="clear" w:color="auto" w:fill="D2D0EE"/>
          </w:tcPr>
          <w:p>
            <w:pPr>
              <w:spacing w:after="0"/>
              <w:rPr>
                <w:sz w:val="21"/>
                <w:szCs w:val="21"/>
                <w:color w:val="auto"/>
              </w:rPr>
            </w:pPr>
          </w:p>
        </w:tc>
        <w:tc>
          <w:tcPr>
            <w:tcW w:w="1180" w:type="dxa"/>
            <w:vAlign w:val="bottom"/>
            <w:tcBorders>
              <w:bottom w:val="single" w:sz="8" w:color="auto"/>
            </w:tcBorders>
            <w:shd w:val="clear" w:color="auto" w:fill="D2D0EE"/>
          </w:tcPr>
          <w:p>
            <w:pPr>
              <w:jc w:val="right"/>
              <w:ind w:right="492"/>
              <w:spacing w:after="0"/>
              <w:rPr>
                <w:sz w:val="20"/>
                <w:szCs w:val="20"/>
                <w:color w:val="auto"/>
              </w:rPr>
            </w:pPr>
            <w:r>
              <w:rPr>
                <w:rFonts w:ascii="Verdana" w:cs="Verdana" w:eastAsia="Verdana" w:hAnsi="Verdana"/>
                <w:sz w:val="18"/>
                <w:szCs w:val="18"/>
                <w:b w:val="1"/>
                <w:bCs w:val="1"/>
                <w:color w:val="auto"/>
              </w:rPr>
              <w:t>2026</w:t>
            </w:r>
          </w:p>
        </w:tc>
        <w:tc>
          <w:tcPr>
            <w:tcW w:w="140" w:type="dxa"/>
            <w:vAlign w:val="bottom"/>
            <w:tcBorders>
              <w:right w:val="single" w:sz="8" w:color="auto"/>
            </w:tcBorders>
            <w:shd w:val="clear" w:color="auto" w:fill="D2D0EE"/>
          </w:tcPr>
          <w:p>
            <w:pPr>
              <w:spacing w:after="0"/>
              <w:rPr>
                <w:sz w:val="21"/>
                <w:szCs w:val="21"/>
                <w:color w:val="auto"/>
              </w:rPr>
            </w:pPr>
          </w:p>
        </w:tc>
      </w:tr>
      <w:tr>
        <w:trPr>
          <w:trHeight w:val="237"/>
        </w:trPr>
        <w:tc>
          <w:tcPr>
            <w:tcW w:w="736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Total operating income</w:t>
            </w:r>
          </w:p>
        </w:tc>
        <w:tc>
          <w:tcPr>
            <w:tcW w:w="1880" w:type="dxa"/>
            <w:vAlign w:val="bottom"/>
            <w:gridSpan w:val="3"/>
          </w:tcPr>
          <w:p>
            <w:pPr>
              <w:jc w:val="right"/>
              <w:spacing w:after="0"/>
              <w:rPr>
                <w:sz w:val="20"/>
                <w:szCs w:val="20"/>
                <w:color w:val="auto"/>
              </w:rPr>
            </w:pPr>
            <w:r>
              <w:rPr>
                <w:rFonts w:ascii="Verdana" w:cs="Verdana" w:eastAsia="Verdana" w:hAnsi="Verdana"/>
                <w:sz w:val="18"/>
                <w:szCs w:val="18"/>
                <w:color w:val="auto"/>
              </w:rPr>
              <w:t>1.0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1.3</w:t>
            </w:r>
          </w:p>
        </w:tc>
        <w:tc>
          <w:tcPr>
            <w:tcW w:w="140" w:type="dxa"/>
            <w:vAlign w:val="bottom"/>
            <w:tcBorders>
              <w:right w:val="single" w:sz="8" w:color="auto"/>
            </w:tcBorders>
          </w:tcPr>
          <w:p>
            <w:pPr>
              <w:spacing w:after="0"/>
              <w:rPr>
                <w:sz w:val="20"/>
                <w:szCs w:val="20"/>
                <w:color w:val="auto"/>
              </w:rPr>
            </w:pPr>
          </w:p>
        </w:tc>
      </w:tr>
      <w:tr>
        <w:trPr>
          <w:trHeight w:val="243"/>
        </w:trPr>
        <w:tc>
          <w:tcPr>
            <w:tcW w:w="736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Total operating expenses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r>
      <w:tr>
        <w:trPr>
          <w:trHeight w:val="270"/>
        </w:trPr>
        <w:tc>
          <w:tcPr>
            <w:tcW w:w="7360" w:type="dxa"/>
            <w:vAlign w:val="bottom"/>
            <w:tcBorders>
              <w:left w:val="single" w:sz="8" w:color="auto"/>
            </w:tcBorders>
          </w:tcPr>
          <w:p>
            <w:pPr>
              <w:ind w:left="260"/>
              <w:spacing w:after="0"/>
              <w:rPr>
                <w:sz w:val="20"/>
                <w:szCs w:val="20"/>
                <w:color w:val="auto"/>
              </w:rPr>
            </w:pPr>
            <w:r>
              <w:rPr>
                <w:rFonts w:ascii="Verdana" w:cs="Verdana" w:eastAsia="Verdana" w:hAnsi="Verdana"/>
                <w:sz w:val="18"/>
                <w:szCs w:val="18"/>
                <w:i w:val="1"/>
                <w:iCs w:val="1"/>
                <w:color w:val="auto"/>
              </w:rPr>
              <w:t>of which Research and Development costs</w:t>
            </w:r>
          </w:p>
        </w:tc>
        <w:tc>
          <w:tcPr>
            <w:tcW w:w="1960" w:type="dxa"/>
            <w:vAlign w:val="bottom"/>
            <w:gridSpan w:val="4"/>
          </w:tcPr>
          <w:p>
            <w:pPr>
              <w:jc w:val="right"/>
              <w:ind w:right="20"/>
              <w:spacing w:after="0"/>
              <w:rPr>
                <w:sz w:val="20"/>
                <w:szCs w:val="20"/>
                <w:color w:val="auto"/>
              </w:rPr>
            </w:pPr>
            <w:r>
              <w:rPr>
                <w:rFonts w:ascii="Verdana" w:cs="Verdana" w:eastAsia="Verdana" w:hAnsi="Verdana"/>
                <w:sz w:val="18"/>
                <w:szCs w:val="18"/>
                <w:color w:val="auto"/>
              </w:rPr>
              <w:t>(39.3)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(49.5)</w:t>
            </w:r>
          </w:p>
        </w:tc>
        <w:tc>
          <w:tcPr>
            <w:tcW w:w="140" w:type="dxa"/>
            <w:vAlign w:val="bottom"/>
            <w:tcBorders>
              <w:right w:val="single" w:sz="8" w:color="auto"/>
            </w:tcBorders>
          </w:tcPr>
          <w:p>
            <w:pPr>
              <w:spacing w:after="0"/>
              <w:rPr>
                <w:sz w:val="23"/>
                <w:szCs w:val="23"/>
                <w:color w:val="auto"/>
              </w:rPr>
            </w:pPr>
          </w:p>
        </w:tc>
      </w:tr>
      <w:tr>
        <w:trPr>
          <w:trHeight w:val="257"/>
        </w:trPr>
        <w:tc>
          <w:tcPr>
            <w:tcW w:w="7360" w:type="dxa"/>
            <w:vAlign w:val="bottom"/>
            <w:tcBorders>
              <w:left w:val="single" w:sz="8" w:color="auto"/>
            </w:tcBorders>
          </w:tcPr>
          <w:p>
            <w:pPr>
              <w:ind w:left="260"/>
              <w:spacing w:after="0"/>
              <w:rPr>
                <w:sz w:val="20"/>
                <w:szCs w:val="20"/>
                <w:color w:val="auto"/>
              </w:rPr>
            </w:pPr>
            <w:r>
              <w:rPr>
                <w:rFonts w:ascii="Verdana" w:cs="Verdana" w:eastAsia="Verdana" w:hAnsi="Verdana"/>
                <w:sz w:val="18"/>
                <w:szCs w:val="18"/>
                <w:i w:val="1"/>
                <w:iCs w:val="1"/>
                <w:color w:val="auto"/>
              </w:rPr>
              <w:t>of which Sales and Marketing costs</w:t>
            </w:r>
          </w:p>
        </w:tc>
        <w:tc>
          <w:tcPr>
            <w:tcW w:w="1960" w:type="dxa"/>
            <w:vAlign w:val="bottom"/>
            <w:gridSpan w:val="4"/>
          </w:tcPr>
          <w:p>
            <w:pPr>
              <w:jc w:val="right"/>
              <w:ind w:right="20"/>
              <w:spacing w:after="0"/>
              <w:rPr>
                <w:sz w:val="20"/>
                <w:szCs w:val="20"/>
                <w:color w:val="auto"/>
              </w:rPr>
            </w:pPr>
            <w:r>
              <w:rPr>
                <w:rFonts w:ascii="Verdana" w:cs="Verdana" w:eastAsia="Verdana" w:hAnsi="Verdana"/>
                <w:sz w:val="18"/>
                <w:szCs w:val="18"/>
                <w:color w:val="auto"/>
              </w:rPr>
              <w:t>(0.9)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(1.7)</w:t>
            </w:r>
          </w:p>
        </w:tc>
        <w:tc>
          <w:tcPr>
            <w:tcW w:w="140" w:type="dxa"/>
            <w:vAlign w:val="bottom"/>
            <w:tcBorders>
              <w:right w:val="single" w:sz="8" w:color="auto"/>
            </w:tcBorders>
          </w:tcPr>
          <w:p>
            <w:pPr>
              <w:spacing w:after="0"/>
              <w:rPr>
                <w:sz w:val="22"/>
                <w:szCs w:val="22"/>
                <w:color w:val="auto"/>
              </w:rPr>
            </w:pPr>
          </w:p>
        </w:tc>
      </w:tr>
      <w:tr>
        <w:trPr>
          <w:trHeight w:val="256"/>
        </w:trPr>
        <w:tc>
          <w:tcPr>
            <w:tcW w:w="7360" w:type="dxa"/>
            <w:vAlign w:val="bottom"/>
            <w:tcBorders>
              <w:left w:val="single" w:sz="8" w:color="auto"/>
            </w:tcBorders>
          </w:tcPr>
          <w:p>
            <w:pPr>
              <w:ind w:left="260"/>
              <w:spacing w:after="0"/>
              <w:rPr>
                <w:sz w:val="20"/>
                <w:szCs w:val="20"/>
                <w:color w:val="auto"/>
              </w:rPr>
            </w:pPr>
            <w:r>
              <w:rPr>
                <w:rFonts w:ascii="Verdana" w:cs="Verdana" w:eastAsia="Verdana" w:hAnsi="Verdana"/>
                <w:sz w:val="18"/>
                <w:szCs w:val="18"/>
                <w:i w:val="1"/>
                <w:iCs w:val="1"/>
                <w:color w:val="auto"/>
              </w:rPr>
              <w:t>of which General and Administrative costs</w:t>
            </w:r>
          </w:p>
        </w:tc>
        <w:tc>
          <w:tcPr>
            <w:tcW w:w="1960" w:type="dxa"/>
            <w:vAlign w:val="bottom"/>
            <w:gridSpan w:val="4"/>
          </w:tcPr>
          <w:p>
            <w:pPr>
              <w:jc w:val="right"/>
              <w:ind w:right="20"/>
              <w:spacing w:after="0"/>
              <w:rPr>
                <w:sz w:val="20"/>
                <w:szCs w:val="20"/>
                <w:color w:val="auto"/>
              </w:rPr>
            </w:pPr>
            <w:r>
              <w:rPr>
                <w:rFonts w:ascii="Verdana" w:cs="Verdana" w:eastAsia="Verdana" w:hAnsi="Verdana"/>
                <w:sz w:val="18"/>
                <w:szCs w:val="18"/>
                <w:color w:val="auto"/>
              </w:rPr>
              <w:t>(8.0)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(6.3)</w:t>
            </w:r>
          </w:p>
        </w:tc>
        <w:tc>
          <w:tcPr>
            <w:tcW w:w="140" w:type="dxa"/>
            <w:vAlign w:val="bottom"/>
            <w:tcBorders>
              <w:right w:val="single" w:sz="8" w:color="auto"/>
            </w:tcBorders>
          </w:tcPr>
          <w:p>
            <w:pPr>
              <w:spacing w:after="0"/>
              <w:rPr>
                <w:sz w:val="22"/>
                <w:szCs w:val="22"/>
                <w:color w:val="auto"/>
              </w:rPr>
            </w:pPr>
          </w:p>
        </w:tc>
      </w:tr>
      <w:tr>
        <w:trPr>
          <w:trHeight w:val="257"/>
        </w:trPr>
        <w:tc>
          <w:tcPr>
            <w:tcW w:w="7360" w:type="dxa"/>
            <w:vAlign w:val="bottom"/>
            <w:tcBorders>
              <w:left w:val="single" w:sz="8" w:color="auto"/>
            </w:tcBorders>
            <w:shd w:val="clear" w:color="auto" w:fill="D2D0EE"/>
          </w:tcPr>
          <w:p>
            <w:pPr>
              <w:ind w:left="40"/>
              <w:spacing w:after="0"/>
              <w:rPr>
                <w:sz w:val="20"/>
                <w:szCs w:val="20"/>
                <w:color w:val="auto"/>
              </w:rPr>
            </w:pPr>
            <w:r>
              <w:rPr>
                <w:rFonts w:ascii="Verdana" w:cs="Verdana" w:eastAsia="Verdana" w:hAnsi="Verdana"/>
                <w:sz w:val="18"/>
                <w:szCs w:val="18"/>
                <w:b w:val="1"/>
                <w:bCs w:val="1"/>
                <w:color w:val="auto"/>
              </w:rPr>
              <w:t>Operating loss</w:t>
            </w:r>
          </w:p>
        </w:tc>
        <w:tc>
          <w:tcPr>
            <w:tcW w:w="1960" w:type="dxa"/>
            <w:vAlign w:val="bottom"/>
            <w:gridSpan w:val="4"/>
            <w:shd w:val="clear" w:color="auto" w:fill="D2D0EE"/>
          </w:tcPr>
          <w:p>
            <w:pPr>
              <w:jc w:val="right"/>
              <w:ind w:right="20"/>
              <w:spacing w:after="0"/>
              <w:rPr>
                <w:sz w:val="20"/>
                <w:szCs w:val="20"/>
                <w:color w:val="auto"/>
              </w:rPr>
            </w:pPr>
            <w:r>
              <w:rPr>
                <w:rFonts w:ascii="Verdana" w:cs="Verdana" w:eastAsia="Verdana" w:hAnsi="Verdana"/>
                <w:sz w:val="16"/>
                <w:szCs w:val="16"/>
                <w:b w:val="1"/>
                <w:bCs w:val="1"/>
                <w:color w:val="auto"/>
              </w:rPr>
              <w:t>(47.2)</w:t>
            </w:r>
          </w:p>
        </w:tc>
        <w:tc>
          <w:tcPr>
            <w:tcW w:w="40" w:type="dxa"/>
            <w:vAlign w:val="bottom"/>
            <w:shd w:val="clear" w:color="auto" w:fill="D2D0EE"/>
          </w:tcPr>
          <w:p>
            <w:pPr>
              <w:spacing w:after="0"/>
              <w:rPr>
                <w:sz w:val="22"/>
                <w:szCs w:val="22"/>
                <w:color w:val="auto"/>
              </w:rPr>
            </w:pPr>
          </w:p>
        </w:tc>
        <w:tc>
          <w:tcPr>
            <w:tcW w:w="80" w:type="dxa"/>
            <w:vAlign w:val="bottom"/>
            <w:shd w:val="clear" w:color="auto" w:fill="D2D0EE"/>
          </w:tcPr>
          <w:p>
            <w:pPr>
              <w:spacing w:after="0"/>
              <w:rPr>
                <w:sz w:val="22"/>
                <w:szCs w:val="22"/>
                <w:color w:val="auto"/>
              </w:rPr>
            </w:pPr>
          </w:p>
        </w:tc>
        <w:tc>
          <w:tcPr>
            <w:tcW w:w="500" w:type="dxa"/>
            <w:vAlign w:val="bottom"/>
            <w:shd w:val="clear" w:color="auto" w:fill="D2D0EE"/>
          </w:tcPr>
          <w:p>
            <w:pPr>
              <w:spacing w:after="0"/>
              <w:rPr>
                <w:sz w:val="22"/>
                <w:szCs w:val="22"/>
                <w:color w:val="auto"/>
              </w:rPr>
            </w:pPr>
          </w:p>
        </w:tc>
        <w:tc>
          <w:tcPr>
            <w:tcW w:w="1180" w:type="dxa"/>
            <w:vAlign w:val="bottom"/>
            <w:shd w:val="clear" w:color="auto" w:fill="D2D0EE"/>
          </w:tcPr>
          <w:p>
            <w:pPr>
              <w:jc w:val="right"/>
              <w:spacing w:after="0"/>
              <w:rPr>
                <w:sz w:val="20"/>
                <w:szCs w:val="20"/>
                <w:color w:val="auto"/>
              </w:rPr>
            </w:pPr>
            <w:r>
              <w:rPr>
                <w:rFonts w:ascii="Verdana" w:cs="Verdana" w:eastAsia="Verdana" w:hAnsi="Verdana"/>
                <w:sz w:val="16"/>
                <w:szCs w:val="16"/>
                <w:b w:val="1"/>
                <w:bCs w:val="1"/>
                <w:color w:val="auto"/>
              </w:rPr>
              <w:t>(56.2)</w:t>
            </w:r>
          </w:p>
        </w:tc>
        <w:tc>
          <w:tcPr>
            <w:tcW w:w="140" w:type="dxa"/>
            <w:vAlign w:val="bottom"/>
            <w:tcBorders>
              <w:right w:val="single" w:sz="8" w:color="auto"/>
            </w:tcBorders>
            <w:shd w:val="clear" w:color="auto" w:fill="D2D0EE"/>
          </w:tcPr>
          <w:p>
            <w:pPr>
              <w:spacing w:after="0"/>
              <w:rPr>
                <w:sz w:val="22"/>
                <w:szCs w:val="22"/>
                <w:color w:val="auto"/>
              </w:rPr>
            </w:pPr>
          </w:p>
        </w:tc>
      </w:tr>
      <w:tr>
        <w:trPr>
          <w:trHeight w:val="310"/>
        </w:trPr>
        <w:tc>
          <w:tcPr>
            <w:tcW w:w="736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Financial gain (loss)</w:t>
            </w:r>
          </w:p>
        </w:tc>
        <w:tc>
          <w:tcPr>
            <w:tcW w:w="1960" w:type="dxa"/>
            <w:vAlign w:val="bottom"/>
            <w:gridSpan w:val="4"/>
          </w:tcPr>
          <w:p>
            <w:pPr>
              <w:jc w:val="right"/>
              <w:ind w:right="20"/>
              <w:spacing w:after="0"/>
              <w:rPr>
                <w:sz w:val="20"/>
                <w:szCs w:val="20"/>
                <w:color w:val="auto"/>
              </w:rPr>
            </w:pPr>
            <w:r>
              <w:rPr>
                <w:rFonts w:ascii="Verdana" w:cs="Verdana" w:eastAsia="Verdana" w:hAnsi="Verdana"/>
                <w:sz w:val="18"/>
                <w:szCs w:val="18"/>
                <w:color w:val="auto"/>
              </w:rPr>
              <w:t>(5.2)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8.0</w:t>
            </w:r>
          </w:p>
        </w:tc>
        <w:tc>
          <w:tcPr>
            <w:tcW w:w="140" w:type="dxa"/>
            <w:vAlign w:val="bottom"/>
            <w:tcBorders>
              <w:right w:val="single" w:sz="8" w:color="auto"/>
            </w:tcBorders>
          </w:tcPr>
          <w:p>
            <w:pPr>
              <w:spacing w:after="0"/>
              <w:rPr>
                <w:sz w:val="24"/>
                <w:szCs w:val="24"/>
                <w:color w:val="auto"/>
              </w:rPr>
            </w:pPr>
          </w:p>
        </w:tc>
      </w:tr>
      <w:tr>
        <w:trPr>
          <w:trHeight w:val="54"/>
        </w:trPr>
        <w:tc>
          <w:tcPr>
            <w:tcW w:w="7360" w:type="dxa"/>
            <w:vAlign w:val="bottom"/>
            <w:tcBorders>
              <w:left w:val="single" w:sz="8" w:color="auto"/>
            </w:tcBorders>
          </w:tcPr>
          <w:p>
            <w:pPr>
              <w:spacing w:after="0"/>
              <w:rPr>
                <w:sz w:val="4"/>
                <w:szCs w:val="4"/>
                <w:color w:val="auto"/>
              </w:rPr>
            </w:pPr>
          </w:p>
        </w:tc>
        <w:tc>
          <w:tcPr>
            <w:tcW w:w="280" w:type="dxa"/>
            <w:vAlign w:val="bottom"/>
            <w:gridSpan w:val="2"/>
          </w:tcPr>
          <w:p>
            <w:pPr>
              <w:spacing w:after="0"/>
              <w:rPr>
                <w:sz w:val="4"/>
                <w:szCs w:val="4"/>
                <w:color w:val="auto"/>
              </w:rPr>
            </w:pPr>
          </w:p>
        </w:tc>
        <w:tc>
          <w:tcPr>
            <w:tcW w:w="16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257"/>
        </w:trPr>
        <w:tc>
          <w:tcPr>
            <w:tcW w:w="7360" w:type="dxa"/>
            <w:vAlign w:val="bottom"/>
            <w:tcBorders>
              <w:left w:val="single" w:sz="8" w:color="auto"/>
            </w:tcBorders>
            <w:shd w:val="clear" w:color="auto" w:fill="D2D0EE"/>
          </w:tcPr>
          <w:p>
            <w:pPr>
              <w:ind w:left="40"/>
              <w:spacing w:after="0"/>
              <w:rPr>
                <w:sz w:val="20"/>
                <w:szCs w:val="20"/>
                <w:color w:val="auto"/>
              </w:rPr>
            </w:pPr>
            <w:r>
              <w:rPr>
                <w:rFonts w:ascii="Verdana" w:cs="Verdana" w:eastAsia="Verdana" w:hAnsi="Verdana"/>
                <w:sz w:val="18"/>
                <w:szCs w:val="18"/>
                <w:b w:val="1"/>
                <w:bCs w:val="1"/>
                <w:color w:val="auto"/>
              </w:rPr>
              <w:t>Net loss before tax</w:t>
            </w:r>
          </w:p>
        </w:tc>
        <w:tc>
          <w:tcPr>
            <w:tcW w:w="1960" w:type="dxa"/>
            <w:vAlign w:val="bottom"/>
            <w:gridSpan w:val="4"/>
            <w:shd w:val="clear" w:color="auto" w:fill="D2D0EE"/>
          </w:tcPr>
          <w:p>
            <w:pPr>
              <w:jc w:val="right"/>
              <w:ind w:right="20"/>
              <w:spacing w:after="0"/>
              <w:rPr>
                <w:sz w:val="20"/>
                <w:szCs w:val="20"/>
                <w:color w:val="auto"/>
              </w:rPr>
            </w:pPr>
            <w:r>
              <w:rPr>
                <w:rFonts w:ascii="Verdana" w:cs="Verdana" w:eastAsia="Verdana" w:hAnsi="Verdana"/>
                <w:sz w:val="16"/>
                <w:szCs w:val="16"/>
                <w:b w:val="1"/>
                <w:bCs w:val="1"/>
                <w:color w:val="auto"/>
              </w:rPr>
              <w:t>(52.4)</w:t>
            </w:r>
          </w:p>
        </w:tc>
        <w:tc>
          <w:tcPr>
            <w:tcW w:w="40" w:type="dxa"/>
            <w:vAlign w:val="bottom"/>
            <w:shd w:val="clear" w:color="auto" w:fill="D2D0EE"/>
          </w:tcPr>
          <w:p>
            <w:pPr>
              <w:spacing w:after="0"/>
              <w:rPr>
                <w:sz w:val="22"/>
                <w:szCs w:val="22"/>
                <w:color w:val="auto"/>
              </w:rPr>
            </w:pPr>
          </w:p>
        </w:tc>
        <w:tc>
          <w:tcPr>
            <w:tcW w:w="80" w:type="dxa"/>
            <w:vAlign w:val="bottom"/>
            <w:shd w:val="clear" w:color="auto" w:fill="D2D0EE"/>
          </w:tcPr>
          <w:p>
            <w:pPr>
              <w:spacing w:after="0"/>
              <w:rPr>
                <w:sz w:val="22"/>
                <w:szCs w:val="22"/>
                <w:color w:val="auto"/>
              </w:rPr>
            </w:pPr>
          </w:p>
        </w:tc>
        <w:tc>
          <w:tcPr>
            <w:tcW w:w="500" w:type="dxa"/>
            <w:vAlign w:val="bottom"/>
            <w:shd w:val="clear" w:color="auto" w:fill="D2D0EE"/>
          </w:tcPr>
          <w:p>
            <w:pPr>
              <w:spacing w:after="0"/>
              <w:rPr>
                <w:sz w:val="22"/>
                <w:szCs w:val="22"/>
                <w:color w:val="auto"/>
              </w:rPr>
            </w:pPr>
          </w:p>
        </w:tc>
        <w:tc>
          <w:tcPr>
            <w:tcW w:w="1180" w:type="dxa"/>
            <w:vAlign w:val="bottom"/>
            <w:shd w:val="clear" w:color="auto" w:fill="D2D0EE"/>
          </w:tcPr>
          <w:p>
            <w:pPr>
              <w:jc w:val="right"/>
              <w:spacing w:after="0"/>
              <w:rPr>
                <w:sz w:val="20"/>
                <w:szCs w:val="20"/>
                <w:color w:val="auto"/>
              </w:rPr>
            </w:pPr>
            <w:r>
              <w:rPr>
                <w:rFonts w:ascii="Verdana" w:cs="Verdana" w:eastAsia="Verdana" w:hAnsi="Verdana"/>
                <w:sz w:val="16"/>
                <w:szCs w:val="16"/>
                <w:b w:val="1"/>
                <w:bCs w:val="1"/>
                <w:color w:val="auto"/>
              </w:rPr>
              <w:t>(48.2)</w:t>
            </w:r>
          </w:p>
        </w:tc>
        <w:tc>
          <w:tcPr>
            <w:tcW w:w="140" w:type="dxa"/>
            <w:vAlign w:val="bottom"/>
            <w:tcBorders>
              <w:right w:val="single" w:sz="8" w:color="auto"/>
            </w:tcBorders>
            <w:shd w:val="clear" w:color="auto" w:fill="D2D0EE"/>
          </w:tcPr>
          <w:p>
            <w:pPr>
              <w:spacing w:after="0"/>
              <w:rPr>
                <w:sz w:val="22"/>
                <w:szCs w:val="22"/>
                <w:color w:val="auto"/>
              </w:rPr>
            </w:pPr>
          </w:p>
        </w:tc>
      </w:tr>
      <w:tr>
        <w:trPr>
          <w:trHeight w:val="310"/>
        </w:trPr>
        <w:tc>
          <w:tcPr>
            <w:tcW w:w="736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Income tax</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5"/>
          </w:tcPr>
          <w:p>
            <w:pPr>
              <w:jc w:val="right"/>
              <w:ind w:right="70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(0.2)</w:t>
            </w:r>
          </w:p>
        </w:tc>
        <w:tc>
          <w:tcPr>
            <w:tcW w:w="140" w:type="dxa"/>
            <w:vAlign w:val="bottom"/>
            <w:tcBorders>
              <w:right w:val="single" w:sz="8" w:color="auto"/>
            </w:tcBorders>
          </w:tcPr>
          <w:p>
            <w:pPr>
              <w:spacing w:after="0"/>
              <w:rPr>
                <w:sz w:val="24"/>
                <w:szCs w:val="24"/>
                <w:color w:val="auto"/>
              </w:rPr>
            </w:pPr>
          </w:p>
        </w:tc>
      </w:tr>
      <w:tr>
        <w:trPr>
          <w:trHeight w:val="54"/>
        </w:trPr>
        <w:tc>
          <w:tcPr>
            <w:tcW w:w="7360" w:type="dxa"/>
            <w:vAlign w:val="bottom"/>
            <w:tcBorders>
              <w:left w:val="single" w:sz="8" w:color="auto"/>
            </w:tcBorders>
          </w:tcPr>
          <w:p>
            <w:pPr>
              <w:spacing w:after="0"/>
              <w:rPr>
                <w:sz w:val="4"/>
                <w:szCs w:val="4"/>
                <w:color w:val="auto"/>
              </w:rPr>
            </w:pPr>
          </w:p>
        </w:tc>
        <w:tc>
          <w:tcPr>
            <w:tcW w:w="280" w:type="dxa"/>
            <w:vAlign w:val="bottom"/>
            <w:gridSpan w:val="2"/>
          </w:tcPr>
          <w:p>
            <w:pPr>
              <w:spacing w:after="0"/>
              <w:rPr>
                <w:sz w:val="4"/>
                <w:szCs w:val="4"/>
                <w:color w:val="auto"/>
              </w:rPr>
            </w:pPr>
          </w:p>
        </w:tc>
        <w:tc>
          <w:tcPr>
            <w:tcW w:w="16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250"/>
        </w:trPr>
        <w:tc>
          <w:tcPr>
            <w:tcW w:w="7360" w:type="dxa"/>
            <w:vAlign w:val="bottom"/>
            <w:tcBorders>
              <w:left w:val="single" w:sz="8" w:color="auto"/>
              <w:bottom w:val="single" w:sz="8" w:color="auto"/>
            </w:tcBorders>
            <w:shd w:val="clear" w:color="auto" w:fill="D2D0EE"/>
          </w:tcPr>
          <w:p>
            <w:pPr>
              <w:ind w:left="40"/>
              <w:spacing w:after="0"/>
              <w:rPr>
                <w:sz w:val="20"/>
                <w:szCs w:val="20"/>
                <w:color w:val="auto"/>
              </w:rPr>
            </w:pPr>
            <w:r>
              <w:rPr>
                <w:rFonts w:ascii="Verdana" w:cs="Verdana" w:eastAsia="Verdana" w:hAnsi="Verdana"/>
                <w:sz w:val="18"/>
                <w:szCs w:val="18"/>
                <w:b w:val="1"/>
                <w:bCs w:val="1"/>
                <w:color w:val="auto"/>
              </w:rPr>
              <w:t>Net loss for the period</w:t>
            </w:r>
          </w:p>
        </w:tc>
        <w:tc>
          <w:tcPr>
            <w:tcW w:w="1960" w:type="dxa"/>
            <w:vAlign w:val="bottom"/>
            <w:tcBorders>
              <w:bottom w:val="single" w:sz="8" w:color="auto"/>
            </w:tcBorders>
            <w:gridSpan w:val="4"/>
            <w:shd w:val="clear" w:color="auto" w:fill="D2D0EE"/>
          </w:tcPr>
          <w:p>
            <w:pPr>
              <w:jc w:val="right"/>
              <w:ind w:right="20"/>
              <w:spacing w:after="0"/>
              <w:rPr>
                <w:sz w:val="20"/>
                <w:szCs w:val="20"/>
                <w:color w:val="auto"/>
              </w:rPr>
            </w:pPr>
            <w:r>
              <w:rPr>
                <w:rFonts w:ascii="Verdana" w:cs="Verdana" w:eastAsia="Verdana" w:hAnsi="Verdana"/>
                <w:sz w:val="16"/>
                <w:szCs w:val="16"/>
                <w:b w:val="1"/>
                <w:bCs w:val="1"/>
                <w:color w:val="auto"/>
              </w:rPr>
              <w:t>(52.4)</w:t>
            </w:r>
          </w:p>
        </w:tc>
        <w:tc>
          <w:tcPr>
            <w:tcW w:w="40" w:type="dxa"/>
            <w:vAlign w:val="bottom"/>
            <w:tcBorders>
              <w:bottom w:val="single" w:sz="8" w:color="auto"/>
            </w:tcBorders>
            <w:shd w:val="clear" w:color="auto" w:fill="D2D0EE"/>
          </w:tcPr>
          <w:p>
            <w:pPr>
              <w:spacing w:after="0"/>
              <w:rPr>
                <w:sz w:val="21"/>
                <w:szCs w:val="21"/>
                <w:color w:val="auto"/>
              </w:rPr>
            </w:pPr>
          </w:p>
        </w:tc>
        <w:tc>
          <w:tcPr>
            <w:tcW w:w="80" w:type="dxa"/>
            <w:vAlign w:val="bottom"/>
            <w:tcBorders>
              <w:bottom w:val="single" w:sz="8" w:color="auto"/>
            </w:tcBorders>
            <w:shd w:val="clear" w:color="auto" w:fill="D2D0EE"/>
          </w:tcPr>
          <w:p>
            <w:pPr>
              <w:spacing w:after="0"/>
              <w:rPr>
                <w:sz w:val="21"/>
                <w:szCs w:val="21"/>
                <w:color w:val="auto"/>
              </w:rPr>
            </w:pPr>
          </w:p>
        </w:tc>
        <w:tc>
          <w:tcPr>
            <w:tcW w:w="500" w:type="dxa"/>
            <w:vAlign w:val="bottom"/>
            <w:tcBorders>
              <w:bottom w:val="single" w:sz="8" w:color="auto"/>
            </w:tcBorders>
            <w:shd w:val="clear" w:color="auto" w:fill="D2D0EE"/>
          </w:tcPr>
          <w:p>
            <w:pPr>
              <w:spacing w:after="0"/>
              <w:rPr>
                <w:sz w:val="21"/>
                <w:szCs w:val="21"/>
                <w:color w:val="auto"/>
              </w:rPr>
            </w:pPr>
          </w:p>
        </w:tc>
        <w:tc>
          <w:tcPr>
            <w:tcW w:w="1180" w:type="dxa"/>
            <w:vAlign w:val="bottom"/>
            <w:tcBorders>
              <w:bottom w:val="single" w:sz="8" w:color="auto"/>
            </w:tcBorders>
            <w:shd w:val="clear" w:color="auto" w:fill="D2D0EE"/>
          </w:tcPr>
          <w:p>
            <w:pPr>
              <w:jc w:val="right"/>
              <w:spacing w:after="0"/>
              <w:rPr>
                <w:sz w:val="20"/>
                <w:szCs w:val="20"/>
                <w:color w:val="auto"/>
              </w:rPr>
            </w:pPr>
            <w:r>
              <w:rPr>
                <w:rFonts w:ascii="Verdana" w:cs="Verdana" w:eastAsia="Verdana" w:hAnsi="Verdana"/>
                <w:sz w:val="16"/>
                <w:szCs w:val="16"/>
                <w:b w:val="1"/>
                <w:bCs w:val="1"/>
                <w:color w:val="auto"/>
              </w:rPr>
              <w:t>(48.5)</w:t>
            </w:r>
          </w:p>
        </w:tc>
        <w:tc>
          <w:tcPr>
            <w:tcW w:w="140" w:type="dxa"/>
            <w:vAlign w:val="bottom"/>
            <w:tcBorders>
              <w:bottom w:val="single" w:sz="8" w:color="auto"/>
              <w:right w:val="single" w:sz="8" w:color="auto"/>
            </w:tcBorders>
            <w:shd w:val="clear" w:color="auto" w:fill="D2D0EE"/>
          </w:tcPr>
          <w:p>
            <w:pPr>
              <w:spacing w:after="0"/>
              <w:rPr>
                <w:sz w:val="21"/>
                <w:szCs w:val="21"/>
                <w:color w:val="auto"/>
              </w:rPr>
            </w:pPr>
          </w:p>
        </w:tc>
      </w:tr>
    </w:tbl>
    <w:p>
      <w:pPr>
        <w:sectPr>
          <w:pgSz w:w="11900" w:h="16838" w:orient="portrait"/>
          <w:cols w:equalWidth="0" w:num="1">
            <w:col w:w="11260"/>
          </w:cols>
          <w:pgMar w:left="320" w:top="846" w:right="319" w:bottom="1440" w:gutter="0" w:footer="0" w:header="0"/>
        </w:sectPr>
      </w:pPr>
    </w:p>
    <w:bookmarkStart w:id="58" w:name="page59"/>
    <w:bookmarkEnd w:id="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w w:val="96"/>
              </w:rPr>
              <w:t>Exhibit 99.1</w:t>
            </w:r>
          </w:p>
        </w:tc>
      </w:tr>
      <w:tr>
        <w:trPr>
          <w:trHeight w:val="378"/>
        </w:trPr>
        <w:tc>
          <w:tcPr>
            <w:tcW w:w="7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243"/>
        </w:trPr>
        <w:tc>
          <w:tcPr>
            <w:tcW w:w="7520" w:type="dxa"/>
            <w:vAlign w:val="bottom"/>
            <w:tcBorders>
              <w:left w:val="single" w:sz="8" w:color="auto"/>
            </w:tcBorders>
            <w:shd w:val="clear" w:color="auto" w:fill="D2D0EE"/>
          </w:tcPr>
          <w:p>
            <w:pPr>
              <w:ind w:left="40"/>
              <w:spacing w:after="0"/>
              <w:rPr>
                <w:sz w:val="20"/>
                <w:szCs w:val="20"/>
                <w:color w:val="auto"/>
              </w:rPr>
            </w:pPr>
            <w:r>
              <w:rPr>
                <w:rFonts w:ascii="Verdana" w:cs="Verdana" w:eastAsia="Verdana" w:hAnsi="Verdana"/>
                <w:sz w:val="18"/>
                <w:szCs w:val="18"/>
                <w:b w:val="1"/>
                <w:bCs w:val="1"/>
                <w:color w:val="auto"/>
              </w:rPr>
              <w:t>Statement of Financial Position</w:t>
            </w:r>
          </w:p>
        </w:tc>
        <w:tc>
          <w:tcPr>
            <w:tcW w:w="120" w:type="dxa"/>
            <w:vAlign w:val="bottom"/>
            <w:shd w:val="clear" w:color="auto" w:fill="D2D0EE"/>
          </w:tcPr>
          <w:p>
            <w:pPr>
              <w:spacing w:after="0"/>
              <w:rPr>
                <w:sz w:val="21"/>
                <w:szCs w:val="21"/>
                <w:color w:val="auto"/>
              </w:rPr>
            </w:pPr>
          </w:p>
        </w:tc>
        <w:tc>
          <w:tcPr>
            <w:tcW w:w="1320" w:type="dxa"/>
            <w:vAlign w:val="bottom"/>
            <w:shd w:val="clear" w:color="auto" w:fill="D2D0EE"/>
          </w:tcPr>
          <w:p>
            <w:pPr>
              <w:spacing w:after="0"/>
              <w:rPr>
                <w:sz w:val="21"/>
                <w:szCs w:val="21"/>
                <w:color w:val="auto"/>
              </w:rPr>
            </w:pPr>
          </w:p>
        </w:tc>
        <w:tc>
          <w:tcPr>
            <w:tcW w:w="2300" w:type="dxa"/>
            <w:vAlign w:val="bottom"/>
            <w:tcBorders>
              <w:right w:val="single" w:sz="8" w:color="auto"/>
            </w:tcBorders>
            <w:gridSpan w:val="4"/>
            <w:shd w:val="clear" w:color="auto" w:fill="D2D0EE"/>
          </w:tcPr>
          <w:p>
            <w:pPr>
              <w:ind w:left="180"/>
              <w:spacing w:after="0"/>
              <w:rPr>
                <w:sz w:val="20"/>
                <w:szCs w:val="20"/>
                <w:color w:val="auto"/>
              </w:rPr>
            </w:pPr>
            <w:r>
              <w:rPr>
                <w:rFonts w:ascii="Verdana" w:cs="Verdana" w:eastAsia="Verdana" w:hAnsi="Verdana"/>
                <w:sz w:val="18"/>
                <w:szCs w:val="18"/>
                <w:b w:val="1"/>
                <w:bCs w:val="1"/>
                <w:color w:val="auto"/>
              </w:rPr>
              <w:t>As of</w:t>
            </w:r>
          </w:p>
        </w:tc>
      </w:tr>
      <w:tr>
        <w:trPr>
          <w:trHeight w:val="176"/>
        </w:trPr>
        <w:tc>
          <w:tcPr>
            <w:tcW w:w="7520" w:type="dxa"/>
            <w:vAlign w:val="bottom"/>
            <w:tcBorders>
              <w:top w:val="single" w:sz="8" w:color="D2D0EE"/>
              <w:left w:val="single" w:sz="8" w:color="auto"/>
            </w:tcBorders>
            <w:shd w:val="clear" w:color="auto" w:fill="D2D0EE"/>
          </w:tcPr>
          <w:p>
            <w:pPr>
              <w:ind w:left="40"/>
              <w:spacing w:after="0" w:line="176" w:lineRule="exact"/>
              <w:rPr>
                <w:sz w:val="20"/>
                <w:szCs w:val="20"/>
                <w:color w:val="auto"/>
              </w:rPr>
            </w:pPr>
            <w:r>
              <w:rPr>
                <w:rFonts w:ascii="Verdana" w:cs="Verdana" w:eastAsia="Verdana" w:hAnsi="Verdana"/>
                <w:sz w:val="18"/>
                <w:szCs w:val="18"/>
                <w:i w:val="1"/>
                <w:iCs w:val="1"/>
                <w:color w:val="auto"/>
              </w:rPr>
              <w:t>in millions of euros</w:t>
            </w:r>
          </w:p>
        </w:tc>
        <w:tc>
          <w:tcPr>
            <w:tcW w:w="120" w:type="dxa"/>
            <w:vAlign w:val="bottom"/>
            <w:tcBorders>
              <w:top w:val="single" w:sz="8" w:color="D2D0EE"/>
            </w:tcBorders>
            <w:shd w:val="clear" w:color="auto" w:fill="D2D0EE"/>
          </w:tcPr>
          <w:p>
            <w:pPr>
              <w:spacing w:after="0"/>
              <w:rPr>
                <w:sz w:val="15"/>
                <w:szCs w:val="15"/>
                <w:color w:val="auto"/>
              </w:rPr>
            </w:pPr>
          </w:p>
        </w:tc>
        <w:tc>
          <w:tcPr>
            <w:tcW w:w="3480" w:type="dxa"/>
            <w:vAlign w:val="bottom"/>
            <w:tcBorders>
              <w:top w:val="single" w:sz="8" w:color="auto"/>
            </w:tcBorders>
            <w:gridSpan w:val="4"/>
            <w:shd w:val="clear" w:color="auto" w:fill="D2D0EE"/>
          </w:tcPr>
          <w:p>
            <w:pPr>
              <w:ind w:left="140"/>
              <w:spacing w:after="0" w:line="176" w:lineRule="exact"/>
              <w:rPr>
                <w:sz w:val="20"/>
                <w:szCs w:val="20"/>
                <w:color w:val="auto"/>
              </w:rPr>
            </w:pPr>
            <w:r>
              <w:rPr>
                <w:rFonts w:ascii="Verdana" w:cs="Verdana" w:eastAsia="Verdana" w:hAnsi="Verdana"/>
                <w:sz w:val="18"/>
                <w:szCs w:val="18"/>
                <w:b w:val="1"/>
                <w:bCs w:val="1"/>
                <w:color w:val="auto"/>
              </w:rPr>
              <w:t>December 31,</w:t>
            </w:r>
          </w:p>
        </w:tc>
        <w:tc>
          <w:tcPr>
            <w:tcW w:w="140" w:type="dxa"/>
            <w:vAlign w:val="bottom"/>
            <w:tcBorders>
              <w:top w:val="single" w:sz="8" w:color="D2D0EE"/>
              <w:right w:val="single" w:sz="8" w:color="auto"/>
            </w:tcBorders>
            <w:shd w:val="clear" w:color="auto" w:fill="D2D0EE"/>
          </w:tcPr>
          <w:p>
            <w:pPr>
              <w:spacing w:after="0"/>
              <w:rPr>
                <w:sz w:val="15"/>
                <w:szCs w:val="15"/>
                <w:color w:val="auto"/>
              </w:rPr>
            </w:pPr>
          </w:p>
        </w:tc>
      </w:tr>
      <w:tr>
        <w:trPr>
          <w:trHeight w:val="243"/>
        </w:trPr>
        <w:tc>
          <w:tcPr>
            <w:tcW w:w="7520" w:type="dxa"/>
            <w:vAlign w:val="bottom"/>
            <w:tcBorders>
              <w:left w:val="single" w:sz="8" w:color="auto"/>
            </w:tcBorders>
            <w:shd w:val="clear" w:color="auto" w:fill="D2D0EE"/>
          </w:tcPr>
          <w:p>
            <w:pPr>
              <w:spacing w:after="0"/>
              <w:rPr>
                <w:sz w:val="21"/>
                <w:szCs w:val="21"/>
                <w:color w:val="auto"/>
              </w:rPr>
            </w:pPr>
          </w:p>
        </w:tc>
        <w:tc>
          <w:tcPr>
            <w:tcW w:w="120" w:type="dxa"/>
            <w:vAlign w:val="bottom"/>
            <w:shd w:val="clear" w:color="auto" w:fill="D2D0EE"/>
          </w:tcPr>
          <w:p>
            <w:pPr>
              <w:spacing w:after="0"/>
              <w:rPr>
                <w:sz w:val="21"/>
                <w:szCs w:val="21"/>
                <w:color w:val="auto"/>
              </w:rPr>
            </w:pPr>
          </w:p>
        </w:tc>
        <w:tc>
          <w:tcPr>
            <w:tcW w:w="1320" w:type="dxa"/>
            <w:vAlign w:val="bottom"/>
            <w:tcBorders>
              <w:bottom w:val="single" w:sz="8" w:color="auto"/>
            </w:tcBorders>
            <w:shd w:val="clear" w:color="auto" w:fill="D2D0EE"/>
          </w:tcPr>
          <w:p>
            <w:pPr>
              <w:jc w:val="center"/>
              <w:ind w:left="290"/>
              <w:spacing w:after="0"/>
              <w:rPr>
                <w:sz w:val="20"/>
                <w:szCs w:val="20"/>
                <w:color w:val="auto"/>
              </w:rPr>
            </w:pPr>
            <w:r>
              <w:rPr>
                <w:rFonts w:ascii="Verdana" w:cs="Verdana" w:eastAsia="Verdana" w:hAnsi="Verdana"/>
                <w:sz w:val="18"/>
                <w:szCs w:val="18"/>
                <w:b w:val="1"/>
                <w:bCs w:val="1"/>
                <w:color w:val="auto"/>
                <w:w w:val="97"/>
              </w:rPr>
              <w:t>2025</w:t>
            </w:r>
          </w:p>
        </w:tc>
        <w:tc>
          <w:tcPr>
            <w:tcW w:w="360" w:type="dxa"/>
            <w:vAlign w:val="bottom"/>
            <w:tcBorders>
              <w:bottom w:val="single" w:sz="8" w:color="auto"/>
            </w:tcBorders>
            <w:shd w:val="clear" w:color="auto" w:fill="D2D0EE"/>
          </w:tcPr>
          <w:p>
            <w:pPr>
              <w:spacing w:after="0"/>
              <w:rPr>
                <w:sz w:val="21"/>
                <w:szCs w:val="21"/>
                <w:color w:val="auto"/>
              </w:rPr>
            </w:pPr>
          </w:p>
        </w:tc>
        <w:tc>
          <w:tcPr>
            <w:tcW w:w="120" w:type="dxa"/>
            <w:vAlign w:val="bottom"/>
            <w:shd w:val="clear" w:color="auto" w:fill="D2D0EE"/>
          </w:tcPr>
          <w:p>
            <w:pPr>
              <w:spacing w:after="0"/>
              <w:rPr>
                <w:sz w:val="21"/>
                <w:szCs w:val="21"/>
                <w:color w:val="auto"/>
              </w:rPr>
            </w:pPr>
          </w:p>
        </w:tc>
        <w:tc>
          <w:tcPr>
            <w:tcW w:w="1680" w:type="dxa"/>
            <w:vAlign w:val="bottom"/>
            <w:tcBorders>
              <w:bottom w:val="single" w:sz="8" w:color="auto"/>
            </w:tcBorders>
            <w:shd w:val="clear" w:color="auto" w:fill="D2D0EE"/>
          </w:tcPr>
          <w:p>
            <w:pPr>
              <w:ind w:left="60"/>
              <w:spacing w:after="0"/>
              <w:rPr>
                <w:sz w:val="20"/>
                <w:szCs w:val="20"/>
                <w:color w:val="auto"/>
              </w:rPr>
            </w:pPr>
            <w:r>
              <w:rPr>
                <w:rFonts w:ascii="Verdana" w:cs="Verdana" w:eastAsia="Verdana" w:hAnsi="Verdana"/>
                <w:sz w:val="18"/>
                <w:szCs w:val="18"/>
                <w:b w:val="1"/>
                <w:bCs w:val="1"/>
                <w:color w:val="auto"/>
              </w:rPr>
              <w:t>March 31, 2026</w:t>
            </w:r>
          </w:p>
        </w:tc>
        <w:tc>
          <w:tcPr>
            <w:tcW w:w="140" w:type="dxa"/>
            <w:vAlign w:val="bottom"/>
            <w:tcBorders>
              <w:right w:val="single" w:sz="8" w:color="auto"/>
            </w:tcBorders>
            <w:shd w:val="clear" w:color="auto" w:fill="D2D0EE"/>
          </w:tcPr>
          <w:p>
            <w:pPr>
              <w:spacing w:after="0"/>
              <w:rPr>
                <w:sz w:val="21"/>
                <w:szCs w:val="21"/>
                <w:color w:val="auto"/>
              </w:rPr>
            </w:pPr>
          </w:p>
        </w:tc>
      </w:tr>
      <w:tr>
        <w:trPr>
          <w:trHeight w:val="331"/>
        </w:trPr>
        <w:tc>
          <w:tcPr>
            <w:tcW w:w="752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Non-current assets</w:t>
            </w:r>
          </w:p>
        </w:tc>
        <w:tc>
          <w:tcPr>
            <w:tcW w:w="1440" w:type="dxa"/>
            <w:vAlign w:val="bottom"/>
            <w:gridSpan w:val="2"/>
          </w:tcPr>
          <w:p>
            <w:pPr>
              <w:jc w:val="center"/>
              <w:ind w:left="410"/>
              <w:spacing w:after="0"/>
              <w:rPr>
                <w:sz w:val="20"/>
                <w:szCs w:val="20"/>
                <w:color w:val="auto"/>
              </w:rPr>
            </w:pPr>
            <w:r>
              <w:rPr>
                <w:rFonts w:ascii="Verdana" w:cs="Verdana" w:eastAsia="Verdana" w:hAnsi="Verdana"/>
                <w:sz w:val="18"/>
                <w:szCs w:val="18"/>
                <w:color w:val="auto"/>
              </w:rPr>
              <w:t>33.1</w:t>
            </w:r>
          </w:p>
        </w:tc>
        <w:tc>
          <w:tcPr>
            <w:tcW w:w="2160" w:type="dxa"/>
            <w:vAlign w:val="bottom"/>
            <w:gridSpan w:val="3"/>
          </w:tcPr>
          <w:p>
            <w:pPr>
              <w:jc w:val="center"/>
              <w:ind w:left="390"/>
              <w:spacing w:after="0"/>
              <w:rPr>
                <w:sz w:val="20"/>
                <w:szCs w:val="20"/>
                <w:color w:val="auto"/>
              </w:rPr>
            </w:pPr>
            <w:r>
              <w:rPr>
                <w:rFonts w:ascii="Verdana" w:cs="Verdana" w:eastAsia="Verdana" w:hAnsi="Verdana"/>
                <w:sz w:val="18"/>
                <w:szCs w:val="18"/>
                <w:color w:val="auto"/>
                <w:w w:val="97"/>
              </w:rPr>
              <w:t>33.9</w:t>
            </w:r>
          </w:p>
        </w:tc>
        <w:tc>
          <w:tcPr>
            <w:tcW w:w="140" w:type="dxa"/>
            <w:vAlign w:val="bottom"/>
            <w:tcBorders>
              <w:right w:val="single" w:sz="8" w:color="auto"/>
            </w:tcBorders>
          </w:tcPr>
          <w:p>
            <w:pPr>
              <w:spacing w:after="0"/>
              <w:rPr>
                <w:sz w:val="24"/>
                <w:szCs w:val="24"/>
                <w:color w:val="auto"/>
              </w:rPr>
            </w:pPr>
          </w:p>
        </w:tc>
      </w:tr>
      <w:tr>
        <w:trPr>
          <w:trHeight w:val="364"/>
        </w:trPr>
        <w:tc>
          <w:tcPr>
            <w:tcW w:w="752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Cash and cash equivalents</w:t>
            </w:r>
          </w:p>
        </w:tc>
        <w:tc>
          <w:tcPr>
            <w:tcW w:w="1440" w:type="dxa"/>
            <w:vAlign w:val="bottom"/>
            <w:gridSpan w:val="2"/>
          </w:tcPr>
          <w:p>
            <w:pPr>
              <w:jc w:val="center"/>
              <w:ind w:left="390"/>
              <w:spacing w:after="0"/>
              <w:rPr>
                <w:sz w:val="20"/>
                <w:szCs w:val="20"/>
                <w:color w:val="auto"/>
              </w:rPr>
            </w:pPr>
            <w:r>
              <w:rPr>
                <w:rFonts w:ascii="Verdana" w:cs="Verdana" w:eastAsia="Verdana" w:hAnsi="Verdana"/>
                <w:sz w:val="18"/>
                <w:szCs w:val="18"/>
                <w:color w:val="auto"/>
                <w:w w:val="99"/>
              </w:rPr>
              <w:t>516.7</w:t>
            </w:r>
          </w:p>
        </w:tc>
        <w:tc>
          <w:tcPr>
            <w:tcW w:w="2160" w:type="dxa"/>
            <w:vAlign w:val="bottom"/>
            <w:gridSpan w:val="3"/>
          </w:tcPr>
          <w:p>
            <w:pPr>
              <w:jc w:val="center"/>
              <w:ind w:left="390"/>
              <w:spacing w:after="0"/>
              <w:rPr>
                <w:sz w:val="20"/>
                <w:szCs w:val="20"/>
                <w:color w:val="auto"/>
              </w:rPr>
            </w:pPr>
            <w:r>
              <w:rPr>
                <w:rFonts w:ascii="Verdana" w:cs="Verdana" w:eastAsia="Verdana" w:hAnsi="Verdana"/>
                <w:sz w:val="18"/>
                <w:szCs w:val="18"/>
                <w:color w:val="auto"/>
                <w:w w:val="99"/>
              </w:rPr>
              <w:t>477.4</w:t>
            </w:r>
          </w:p>
        </w:tc>
        <w:tc>
          <w:tcPr>
            <w:tcW w:w="140" w:type="dxa"/>
            <w:vAlign w:val="bottom"/>
            <w:tcBorders>
              <w:right w:val="single" w:sz="8" w:color="auto"/>
            </w:tcBorders>
          </w:tcPr>
          <w:p>
            <w:pPr>
              <w:spacing w:after="0"/>
              <w:rPr>
                <w:sz w:val="24"/>
                <w:szCs w:val="24"/>
                <w:color w:val="auto"/>
              </w:rPr>
            </w:pPr>
          </w:p>
        </w:tc>
      </w:tr>
      <w:tr>
        <w:trPr>
          <w:trHeight w:val="270"/>
        </w:trPr>
        <w:tc>
          <w:tcPr>
            <w:tcW w:w="7520" w:type="dxa"/>
            <w:vAlign w:val="bottom"/>
            <w:tcBorders>
              <w:left w:val="single" w:sz="8" w:color="auto"/>
            </w:tcBorders>
          </w:tcPr>
          <w:p>
            <w:pPr>
              <w:ind w:left="40"/>
              <w:spacing w:after="0" w:line="270" w:lineRule="exact"/>
              <w:rPr>
                <w:sz w:val="20"/>
                <w:szCs w:val="20"/>
                <w:color w:val="auto"/>
              </w:rPr>
            </w:pPr>
            <w:r>
              <w:rPr>
                <w:rFonts w:ascii="Verdana" w:cs="Verdana" w:eastAsia="Verdana" w:hAnsi="Verdana"/>
                <w:sz w:val="18"/>
                <w:szCs w:val="18"/>
                <w:color w:val="auto"/>
              </w:rPr>
              <w:t>Other current assets</w:t>
            </w:r>
            <w:r>
              <w:rPr>
                <w:rFonts w:ascii="Verdana" w:cs="Verdana" w:eastAsia="Verdana" w:hAnsi="Verdana"/>
                <w:sz w:val="23"/>
                <w:szCs w:val="23"/>
                <w:color w:val="auto"/>
                <w:vertAlign w:val="superscript"/>
              </w:rPr>
              <w:t>1</w:t>
            </w:r>
          </w:p>
        </w:tc>
        <w:tc>
          <w:tcPr>
            <w:tcW w:w="1440" w:type="dxa"/>
            <w:vAlign w:val="bottom"/>
            <w:gridSpan w:val="2"/>
          </w:tcPr>
          <w:p>
            <w:pPr>
              <w:jc w:val="center"/>
              <w:ind w:left="410"/>
              <w:spacing w:after="0"/>
              <w:rPr>
                <w:sz w:val="20"/>
                <w:szCs w:val="20"/>
                <w:color w:val="auto"/>
              </w:rPr>
            </w:pPr>
            <w:r>
              <w:rPr>
                <w:rFonts w:ascii="Verdana" w:cs="Verdana" w:eastAsia="Verdana" w:hAnsi="Verdana"/>
                <w:sz w:val="18"/>
                <w:szCs w:val="18"/>
                <w:color w:val="auto"/>
              </w:rPr>
              <w:t>34.6</w:t>
            </w:r>
          </w:p>
        </w:tc>
        <w:tc>
          <w:tcPr>
            <w:tcW w:w="2160" w:type="dxa"/>
            <w:vAlign w:val="bottom"/>
            <w:gridSpan w:val="3"/>
          </w:tcPr>
          <w:p>
            <w:pPr>
              <w:jc w:val="center"/>
              <w:ind w:left="390"/>
              <w:spacing w:after="0"/>
              <w:rPr>
                <w:sz w:val="20"/>
                <w:szCs w:val="20"/>
                <w:color w:val="auto"/>
              </w:rPr>
            </w:pPr>
            <w:r>
              <w:rPr>
                <w:rFonts w:ascii="Verdana" w:cs="Verdana" w:eastAsia="Verdana" w:hAnsi="Verdana"/>
                <w:sz w:val="18"/>
                <w:szCs w:val="18"/>
                <w:color w:val="auto"/>
                <w:w w:val="97"/>
              </w:rPr>
              <w:t>35.8</w:t>
            </w:r>
          </w:p>
        </w:tc>
        <w:tc>
          <w:tcPr>
            <w:tcW w:w="140" w:type="dxa"/>
            <w:vAlign w:val="bottom"/>
            <w:tcBorders>
              <w:right w:val="single" w:sz="8" w:color="auto"/>
            </w:tcBorders>
          </w:tcPr>
          <w:p>
            <w:pPr>
              <w:spacing w:after="0"/>
              <w:rPr>
                <w:sz w:val="23"/>
                <w:szCs w:val="23"/>
                <w:color w:val="auto"/>
              </w:rPr>
            </w:pPr>
          </w:p>
        </w:tc>
      </w:tr>
      <w:tr>
        <w:trPr>
          <w:trHeight w:val="257"/>
        </w:trPr>
        <w:tc>
          <w:tcPr>
            <w:tcW w:w="7520" w:type="dxa"/>
            <w:vAlign w:val="bottom"/>
            <w:tcBorders>
              <w:left w:val="single" w:sz="8" w:color="auto"/>
            </w:tcBorders>
            <w:shd w:val="clear" w:color="auto" w:fill="D2D0EE"/>
          </w:tcPr>
          <w:p>
            <w:pPr>
              <w:ind w:left="40"/>
              <w:spacing w:after="0"/>
              <w:rPr>
                <w:sz w:val="20"/>
                <w:szCs w:val="20"/>
                <w:color w:val="auto"/>
              </w:rPr>
            </w:pPr>
            <w:r>
              <w:rPr>
                <w:rFonts w:ascii="Verdana" w:cs="Verdana" w:eastAsia="Verdana" w:hAnsi="Verdana"/>
                <w:sz w:val="18"/>
                <w:szCs w:val="18"/>
                <w:b w:val="1"/>
                <w:bCs w:val="1"/>
                <w:color w:val="auto"/>
              </w:rPr>
              <w:t>Total Assets</w:t>
            </w:r>
          </w:p>
        </w:tc>
        <w:tc>
          <w:tcPr>
            <w:tcW w:w="1440" w:type="dxa"/>
            <w:vAlign w:val="bottom"/>
            <w:gridSpan w:val="2"/>
            <w:shd w:val="clear" w:color="auto" w:fill="D2D0EE"/>
          </w:tcPr>
          <w:p>
            <w:pPr>
              <w:jc w:val="center"/>
              <w:ind w:left="410"/>
              <w:spacing w:after="0"/>
              <w:rPr>
                <w:sz w:val="20"/>
                <w:szCs w:val="20"/>
                <w:color w:val="auto"/>
              </w:rPr>
            </w:pPr>
            <w:r>
              <w:rPr>
                <w:rFonts w:ascii="Verdana" w:cs="Verdana" w:eastAsia="Verdana" w:hAnsi="Verdana"/>
                <w:sz w:val="18"/>
                <w:szCs w:val="18"/>
                <w:b w:val="1"/>
                <w:bCs w:val="1"/>
                <w:color w:val="auto"/>
              </w:rPr>
              <w:t>584.3</w:t>
            </w:r>
          </w:p>
        </w:tc>
        <w:tc>
          <w:tcPr>
            <w:tcW w:w="2160" w:type="dxa"/>
            <w:vAlign w:val="bottom"/>
            <w:gridSpan w:val="3"/>
            <w:shd w:val="clear" w:color="auto" w:fill="D2D0EE"/>
          </w:tcPr>
          <w:p>
            <w:pPr>
              <w:jc w:val="center"/>
              <w:ind w:left="390"/>
              <w:spacing w:after="0"/>
              <w:rPr>
                <w:sz w:val="20"/>
                <w:szCs w:val="20"/>
                <w:color w:val="auto"/>
              </w:rPr>
            </w:pPr>
            <w:r>
              <w:rPr>
                <w:rFonts w:ascii="Verdana" w:cs="Verdana" w:eastAsia="Verdana" w:hAnsi="Verdana"/>
                <w:sz w:val="18"/>
                <w:szCs w:val="18"/>
                <w:b w:val="1"/>
                <w:bCs w:val="1"/>
                <w:color w:val="auto"/>
                <w:w w:val="96"/>
              </w:rPr>
              <w:t>547.1</w:t>
            </w:r>
          </w:p>
        </w:tc>
        <w:tc>
          <w:tcPr>
            <w:tcW w:w="140" w:type="dxa"/>
            <w:vAlign w:val="bottom"/>
            <w:tcBorders>
              <w:right w:val="single" w:sz="8" w:color="auto"/>
            </w:tcBorders>
            <w:shd w:val="clear" w:color="auto" w:fill="D2D0EE"/>
          </w:tcPr>
          <w:p>
            <w:pPr>
              <w:spacing w:after="0"/>
              <w:rPr>
                <w:sz w:val="22"/>
                <w:szCs w:val="22"/>
                <w:color w:val="auto"/>
              </w:rPr>
            </w:pPr>
          </w:p>
        </w:tc>
      </w:tr>
      <w:tr>
        <w:trPr>
          <w:trHeight w:val="373"/>
        </w:trPr>
        <w:tc>
          <w:tcPr>
            <w:tcW w:w="752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Borrowings, notes and derivative instruments</w:t>
            </w:r>
            <w:r>
              <w:rPr>
                <w:rFonts w:ascii="Verdana" w:cs="Verdana" w:eastAsia="Verdana" w:hAnsi="Verdana"/>
                <w:sz w:val="23"/>
                <w:szCs w:val="23"/>
                <w:color w:val="auto"/>
                <w:vertAlign w:val="superscript"/>
              </w:rPr>
              <w:t>2</w:t>
            </w:r>
          </w:p>
        </w:tc>
        <w:tc>
          <w:tcPr>
            <w:tcW w:w="1440" w:type="dxa"/>
            <w:vAlign w:val="bottom"/>
            <w:gridSpan w:val="2"/>
          </w:tcPr>
          <w:p>
            <w:pPr>
              <w:jc w:val="center"/>
              <w:ind w:left="410"/>
              <w:spacing w:after="0"/>
              <w:rPr>
                <w:sz w:val="20"/>
                <w:szCs w:val="20"/>
                <w:color w:val="auto"/>
              </w:rPr>
            </w:pPr>
            <w:r>
              <w:rPr>
                <w:rFonts w:ascii="Verdana" w:cs="Verdana" w:eastAsia="Verdana" w:hAnsi="Verdana"/>
                <w:sz w:val="18"/>
                <w:szCs w:val="18"/>
                <w:color w:val="auto"/>
              </w:rPr>
              <w:t>1.9</w:t>
            </w:r>
          </w:p>
        </w:tc>
        <w:tc>
          <w:tcPr>
            <w:tcW w:w="2160" w:type="dxa"/>
            <w:vAlign w:val="bottom"/>
            <w:gridSpan w:val="3"/>
          </w:tcPr>
          <w:p>
            <w:pPr>
              <w:jc w:val="center"/>
              <w:ind w:left="390"/>
              <w:spacing w:after="0"/>
              <w:rPr>
                <w:sz w:val="20"/>
                <w:szCs w:val="20"/>
                <w:color w:val="auto"/>
              </w:rPr>
            </w:pPr>
            <w:r>
              <w:rPr>
                <w:rFonts w:ascii="Verdana" w:cs="Verdana" w:eastAsia="Verdana" w:hAnsi="Verdana"/>
                <w:sz w:val="18"/>
                <w:szCs w:val="18"/>
                <w:color w:val="auto"/>
                <w:w w:val="94"/>
              </w:rPr>
              <w:t>1.4</w:t>
            </w:r>
          </w:p>
        </w:tc>
        <w:tc>
          <w:tcPr>
            <w:tcW w:w="140" w:type="dxa"/>
            <w:vAlign w:val="bottom"/>
            <w:tcBorders>
              <w:right w:val="single" w:sz="8" w:color="auto"/>
            </w:tcBorders>
          </w:tcPr>
          <w:p>
            <w:pPr>
              <w:spacing w:after="0"/>
              <w:rPr>
                <w:sz w:val="24"/>
                <w:szCs w:val="24"/>
                <w:color w:val="auto"/>
              </w:rPr>
            </w:pPr>
          </w:p>
        </w:tc>
      </w:tr>
      <w:tr>
        <w:trPr>
          <w:trHeight w:val="235"/>
        </w:trPr>
        <w:tc>
          <w:tcPr>
            <w:tcW w:w="752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Royalty Certificates</w:t>
            </w:r>
          </w:p>
        </w:tc>
        <w:tc>
          <w:tcPr>
            <w:tcW w:w="1440" w:type="dxa"/>
            <w:vAlign w:val="bottom"/>
            <w:gridSpan w:val="2"/>
          </w:tcPr>
          <w:p>
            <w:pPr>
              <w:jc w:val="center"/>
              <w:ind w:left="410"/>
              <w:spacing w:after="0"/>
              <w:rPr>
                <w:sz w:val="20"/>
                <w:szCs w:val="20"/>
                <w:color w:val="auto"/>
              </w:rPr>
            </w:pPr>
            <w:r>
              <w:rPr>
                <w:rFonts w:ascii="Verdana" w:cs="Verdana" w:eastAsia="Verdana" w:hAnsi="Verdana"/>
                <w:sz w:val="18"/>
                <w:szCs w:val="18"/>
                <w:color w:val="auto"/>
              </w:rPr>
              <w:t>30.2</w:t>
            </w:r>
          </w:p>
        </w:tc>
        <w:tc>
          <w:tcPr>
            <w:tcW w:w="2160" w:type="dxa"/>
            <w:vAlign w:val="bottom"/>
            <w:gridSpan w:val="3"/>
          </w:tcPr>
          <w:p>
            <w:pPr>
              <w:jc w:val="center"/>
              <w:ind w:left="390"/>
              <w:spacing w:after="0"/>
              <w:rPr>
                <w:sz w:val="20"/>
                <w:szCs w:val="20"/>
                <w:color w:val="auto"/>
              </w:rPr>
            </w:pPr>
            <w:r>
              <w:rPr>
                <w:rFonts w:ascii="Verdana" w:cs="Verdana" w:eastAsia="Verdana" w:hAnsi="Verdana"/>
                <w:sz w:val="18"/>
                <w:szCs w:val="18"/>
                <w:color w:val="auto"/>
                <w:w w:val="97"/>
              </w:rPr>
              <w:t>32.8</w:t>
            </w:r>
          </w:p>
        </w:tc>
        <w:tc>
          <w:tcPr>
            <w:tcW w:w="140" w:type="dxa"/>
            <w:vAlign w:val="bottom"/>
            <w:tcBorders>
              <w:right w:val="single" w:sz="8" w:color="auto"/>
            </w:tcBorders>
          </w:tcPr>
          <w:p>
            <w:pPr>
              <w:spacing w:after="0"/>
              <w:rPr>
                <w:sz w:val="20"/>
                <w:szCs w:val="20"/>
                <w:color w:val="auto"/>
              </w:rPr>
            </w:pPr>
          </w:p>
        </w:tc>
      </w:tr>
      <w:tr>
        <w:trPr>
          <w:trHeight w:val="257"/>
        </w:trPr>
        <w:tc>
          <w:tcPr>
            <w:tcW w:w="752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Other non-current liabilities</w:t>
            </w:r>
          </w:p>
        </w:tc>
        <w:tc>
          <w:tcPr>
            <w:tcW w:w="1440" w:type="dxa"/>
            <w:vAlign w:val="bottom"/>
            <w:gridSpan w:val="2"/>
          </w:tcPr>
          <w:p>
            <w:pPr>
              <w:jc w:val="center"/>
              <w:ind w:left="410"/>
              <w:spacing w:after="0"/>
              <w:rPr>
                <w:sz w:val="20"/>
                <w:szCs w:val="20"/>
                <w:color w:val="auto"/>
              </w:rPr>
            </w:pPr>
            <w:r>
              <w:rPr>
                <w:rFonts w:ascii="Verdana" w:cs="Verdana" w:eastAsia="Verdana" w:hAnsi="Verdana"/>
                <w:sz w:val="18"/>
                <w:szCs w:val="18"/>
                <w:color w:val="auto"/>
              </w:rPr>
              <w:t>35.3</w:t>
            </w:r>
          </w:p>
        </w:tc>
        <w:tc>
          <w:tcPr>
            <w:tcW w:w="2160" w:type="dxa"/>
            <w:vAlign w:val="bottom"/>
            <w:gridSpan w:val="3"/>
          </w:tcPr>
          <w:p>
            <w:pPr>
              <w:jc w:val="center"/>
              <w:ind w:left="390"/>
              <w:spacing w:after="0"/>
              <w:rPr>
                <w:sz w:val="20"/>
                <w:szCs w:val="20"/>
                <w:color w:val="auto"/>
              </w:rPr>
            </w:pPr>
            <w:r>
              <w:rPr>
                <w:rFonts w:ascii="Verdana" w:cs="Verdana" w:eastAsia="Verdana" w:hAnsi="Verdana"/>
                <w:sz w:val="18"/>
                <w:szCs w:val="18"/>
                <w:color w:val="auto"/>
                <w:w w:val="97"/>
              </w:rPr>
              <w:t>22.2</w:t>
            </w:r>
          </w:p>
        </w:tc>
        <w:tc>
          <w:tcPr>
            <w:tcW w:w="140" w:type="dxa"/>
            <w:vAlign w:val="bottom"/>
            <w:tcBorders>
              <w:right w:val="single" w:sz="8" w:color="auto"/>
            </w:tcBorders>
          </w:tcPr>
          <w:p>
            <w:pPr>
              <w:spacing w:after="0"/>
              <w:rPr>
                <w:sz w:val="22"/>
                <w:szCs w:val="22"/>
                <w:color w:val="auto"/>
              </w:rPr>
            </w:pPr>
          </w:p>
        </w:tc>
      </w:tr>
      <w:tr>
        <w:trPr>
          <w:trHeight w:val="263"/>
        </w:trPr>
        <w:tc>
          <w:tcPr>
            <w:tcW w:w="752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Other current liabilities</w:t>
            </w:r>
          </w:p>
        </w:tc>
        <w:tc>
          <w:tcPr>
            <w:tcW w:w="1440" w:type="dxa"/>
            <w:vAlign w:val="bottom"/>
            <w:gridSpan w:val="2"/>
          </w:tcPr>
          <w:p>
            <w:pPr>
              <w:jc w:val="center"/>
              <w:ind w:left="410"/>
              <w:spacing w:after="0"/>
              <w:rPr>
                <w:sz w:val="20"/>
                <w:szCs w:val="20"/>
                <w:color w:val="auto"/>
              </w:rPr>
            </w:pPr>
            <w:r>
              <w:rPr>
                <w:rFonts w:ascii="Verdana" w:cs="Verdana" w:eastAsia="Verdana" w:hAnsi="Verdana"/>
                <w:sz w:val="18"/>
                <w:szCs w:val="18"/>
                <w:color w:val="auto"/>
              </w:rPr>
              <w:t>61.7</w:t>
            </w:r>
          </w:p>
        </w:tc>
        <w:tc>
          <w:tcPr>
            <w:tcW w:w="2160" w:type="dxa"/>
            <w:vAlign w:val="bottom"/>
            <w:gridSpan w:val="3"/>
          </w:tcPr>
          <w:p>
            <w:pPr>
              <w:jc w:val="center"/>
              <w:ind w:left="390"/>
              <w:spacing w:after="0"/>
              <w:rPr>
                <w:sz w:val="20"/>
                <w:szCs w:val="20"/>
                <w:color w:val="auto"/>
              </w:rPr>
            </w:pPr>
            <w:r>
              <w:rPr>
                <w:rFonts w:ascii="Verdana" w:cs="Verdana" w:eastAsia="Verdana" w:hAnsi="Verdana"/>
                <w:sz w:val="18"/>
                <w:szCs w:val="18"/>
                <w:color w:val="auto"/>
                <w:w w:val="97"/>
              </w:rPr>
              <w:t>61.1</w:t>
            </w:r>
          </w:p>
        </w:tc>
        <w:tc>
          <w:tcPr>
            <w:tcW w:w="140" w:type="dxa"/>
            <w:vAlign w:val="bottom"/>
            <w:tcBorders>
              <w:right w:val="single" w:sz="8" w:color="auto"/>
            </w:tcBorders>
          </w:tcPr>
          <w:p>
            <w:pPr>
              <w:spacing w:after="0"/>
              <w:rPr>
                <w:sz w:val="22"/>
                <w:szCs w:val="22"/>
                <w:color w:val="auto"/>
              </w:rPr>
            </w:pPr>
          </w:p>
        </w:tc>
      </w:tr>
      <w:tr>
        <w:trPr>
          <w:trHeight w:val="263"/>
        </w:trPr>
        <w:tc>
          <w:tcPr>
            <w:tcW w:w="7520" w:type="dxa"/>
            <w:vAlign w:val="bottom"/>
            <w:tcBorders>
              <w:left w:val="single" w:sz="8" w:color="auto"/>
            </w:tcBorders>
            <w:shd w:val="clear" w:color="auto" w:fill="D2D0EE"/>
          </w:tcPr>
          <w:p>
            <w:pPr>
              <w:ind w:left="40"/>
              <w:spacing w:after="0"/>
              <w:rPr>
                <w:sz w:val="20"/>
                <w:szCs w:val="20"/>
                <w:color w:val="auto"/>
              </w:rPr>
            </w:pPr>
            <w:r>
              <w:rPr>
                <w:rFonts w:ascii="Verdana" w:cs="Verdana" w:eastAsia="Verdana" w:hAnsi="Verdana"/>
                <w:sz w:val="18"/>
                <w:szCs w:val="18"/>
                <w:b w:val="1"/>
                <w:bCs w:val="1"/>
                <w:color w:val="auto"/>
              </w:rPr>
              <w:t>Total Liabilities</w:t>
            </w:r>
          </w:p>
        </w:tc>
        <w:tc>
          <w:tcPr>
            <w:tcW w:w="1440" w:type="dxa"/>
            <w:vAlign w:val="bottom"/>
            <w:gridSpan w:val="2"/>
            <w:shd w:val="clear" w:color="auto" w:fill="D2D0EE"/>
          </w:tcPr>
          <w:p>
            <w:pPr>
              <w:jc w:val="center"/>
              <w:ind w:left="410"/>
              <w:spacing w:after="0"/>
              <w:rPr>
                <w:sz w:val="20"/>
                <w:szCs w:val="20"/>
                <w:color w:val="auto"/>
              </w:rPr>
            </w:pPr>
            <w:r>
              <w:rPr>
                <w:rFonts w:ascii="Verdana" w:cs="Verdana" w:eastAsia="Verdana" w:hAnsi="Verdana"/>
                <w:sz w:val="18"/>
                <w:szCs w:val="18"/>
                <w:b w:val="1"/>
                <w:bCs w:val="1"/>
                <w:color w:val="auto"/>
              </w:rPr>
              <w:t>129.1</w:t>
            </w:r>
          </w:p>
        </w:tc>
        <w:tc>
          <w:tcPr>
            <w:tcW w:w="2160" w:type="dxa"/>
            <w:vAlign w:val="bottom"/>
            <w:gridSpan w:val="3"/>
            <w:shd w:val="clear" w:color="auto" w:fill="D2D0EE"/>
          </w:tcPr>
          <w:p>
            <w:pPr>
              <w:jc w:val="center"/>
              <w:ind w:left="390"/>
              <w:spacing w:after="0"/>
              <w:rPr>
                <w:sz w:val="20"/>
                <w:szCs w:val="20"/>
                <w:color w:val="auto"/>
              </w:rPr>
            </w:pPr>
            <w:r>
              <w:rPr>
                <w:rFonts w:ascii="Verdana" w:cs="Verdana" w:eastAsia="Verdana" w:hAnsi="Verdana"/>
                <w:sz w:val="18"/>
                <w:szCs w:val="18"/>
                <w:b w:val="1"/>
                <w:bCs w:val="1"/>
                <w:color w:val="auto"/>
                <w:w w:val="96"/>
              </w:rPr>
              <w:t>117.5</w:t>
            </w:r>
          </w:p>
        </w:tc>
        <w:tc>
          <w:tcPr>
            <w:tcW w:w="140" w:type="dxa"/>
            <w:vAlign w:val="bottom"/>
            <w:tcBorders>
              <w:right w:val="single" w:sz="8" w:color="auto"/>
            </w:tcBorders>
            <w:shd w:val="clear" w:color="auto" w:fill="D2D0EE"/>
          </w:tcPr>
          <w:p>
            <w:pPr>
              <w:spacing w:after="0"/>
              <w:rPr>
                <w:sz w:val="22"/>
                <w:szCs w:val="22"/>
                <w:color w:val="auto"/>
              </w:rPr>
            </w:pPr>
          </w:p>
        </w:tc>
      </w:tr>
      <w:tr>
        <w:trPr>
          <w:trHeight w:val="108"/>
        </w:trPr>
        <w:tc>
          <w:tcPr>
            <w:tcW w:w="752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r>
      <w:tr>
        <w:trPr>
          <w:trHeight w:val="257"/>
        </w:trPr>
        <w:tc>
          <w:tcPr>
            <w:tcW w:w="7520" w:type="dxa"/>
            <w:vAlign w:val="bottom"/>
            <w:tcBorders>
              <w:left w:val="single" w:sz="8" w:color="auto"/>
            </w:tcBorders>
            <w:shd w:val="clear" w:color="auto" w:fill="D2D0EE"/>
          </w:tcPr>
          <w:p>
            <w:pPr>
              <w:ind w:left="40"/>
              <w:spacing w:after="0"/>
              <w:rPr>
                <w:sz w:val="20"/>
                <w:szCs w:val="20"/>
                <w:color w:val="auto"/>
              </w:rPr>
            </w:pPr>
            <w:r>
              <w:rPr>
                <w:rFonts w:ascii="Verdana" w:cs="Verdana" w:eastAsia="Verdana" w:hAnsi="Verdana"/>
                <w:sz w:val="18"/>
                <w:szCs w:val="18"/>
                <w:b w:val="1"/>
                <w:bCs w:val="1"/>
                <w:color w:val="auto"/>
              </w:rPr>
              <w:t>Total Shareholders’ Equity</w:t>
            </w:r>
          </w:p>
        </w:tc>
        <w:tc>
          <w:tcPr>
            <w:tcW w:w="1440" w:type="dxa"/>
            <w:vAlign w:val="bottom"/>
            <w:gridSpan w:val="2"/>
            <w:shd w:val="clear" w:color="auto" w:fill="D2D0EE"/>
          </w:tcPr>
          <w:p>
            <w:pPr>
              <w:jc w:val="center"/>
              <w:ind w:left="410"/>
              <w:spacing w:after="0"/>
              <w:rPr>
                <w:sz w:val="20"/>
                <w:szCs w:val="20"/>
                <w:color w:val="auto"/>
              </w:rPr>
            </w:pPr>
            <w:r>
              <w:rPr>
                <w:rFonts w:ascii="Verdana" w:cs="Verdana" w:eastAsia="Verdana" w:hAnsi="Verdana"/>
                <w:sz w:val="18"/>
                <w:szCs w:val="18"/>
                <w:b w:val="1"/>
                <w:bCs w:val="1"/>
                <w:color w:val="auto"/>
              </w:rPr>
              <w:t>455.2</w:t>
            </w:r>
          </w:p>
        </w:tc>
        <w:tc>
          <w:tcPr>
            <w:tcW w:w="2160" w:type="dxa"/>
            <w:vAlign w:val="bottom"/>
            <w:gridSpan w:val="3"/>
            <w:shd w:val="clear" w:color="auto" w:fill="D2D0EE"/>
          </w:tcPr>
          <w:p>
            <w:pPr>
              <w:jc w:val="center"/>
              <w:ind w:left="390"/>
              <w:spacing w:after="0"/>
              <w:rPr>
                <w:sz w:val="20"/>
                <w:szCs w:val="20"/>
                <w:color w:val="auto"/>
              </w:rPr>
            </w:pPr>
            <w:r>
              <w:rPr>
                <w:rFonts w:ascii="Verdana" w:cs="Verdana" w:eastAsia="Verdana" w:hAnsi="Verdana"/>
                <w:sz w:val="18"/>
                <w:szCs w:val="18"/>
                <w:b w:val="1"/>
                <w:bCs w:val="1"/>
                <w:color w:val="auto"/>
                <w:w w:val="96"/>
              </w:rPr>
              <w:t>429.6</w:t>
            </w:r>
          </w:p>
        </w:tc>
        <w:tc>
          <w:tcPr>
            <w:tcW w:w="140" w:type="dxa"/>
            <w:vAlign w:val="bottom"/>
            <w:tcBorders>
              <w:right w:val="single" w:sz="8" w:color="auto"/>
            </w:tcBorders>
            <w:shd w:val="clear" w:color="auto" w:fill="D2D0EE"/>
          </w:tcPr>
          <w:p>
            <w:pPr>
              <w:spacing w:after="0"/>
              <w:rPr>
                <w:sz w:val="22"/>
                <w:szCs w:val="22"/>
                <w:color w:val="auto"/>
              </w:rPr>
            </w:pPr>
          </w:p>
        </w:tc>
      </w:tr>
      <w:tr>
        <w:trPr>
          <w:trHeight w:val="108"/>
        </w:trPr>
        <w:tc>
          <w:tcPr>
            <w:tcW w:w="752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r>
      <w:tr>
        <w:trPr>
          <w:trHeight w:val="250"/>
        </w:trPr>
        <w:tc>
          <w:tcPr>
            <w:tcW w:w="7520" w:type="dxa"/>
            <w:vAlign w:val="bottom"/>
            <w:tcBorders>
              <w:left w:val="single" w:sz="8" w:color="auto"/>
              <w:bottom w:val="single" w:sz="8" w:color="auto"/>
            </w:tcBorders>
            <w:shd w:val="clear" w:color="auto" w:fill="D2D0EE"/>
          </w:tcPr>
          <w:p>
            <w:pPr>
              <w:ind w:left="40"/>
              <w:spacing w:after="0"/>
              <w:rPr>
                <w:sz w:val="20"/>
                <w:szCs w:val="20"/>
                <w:color w:val="auto"/>
              </w:rPr>
            </w:pPr>
            <w:r>
              <w:rPr>
                <w:rFonts w:ascii="Verdana" w:cs="Verdana" w:eastAsia="Verdana" w:hAnsi="Verdana"/>
                <w:sz w:val="18"/>
                <w:szCs w:val="18"/>
                <w:b w:val="1"/>
                <w:bCs w:val="1"/>
                <w:color w:val="auto"/>
              </w:rPr>
              <w:t>Total Liabilities and Shareholders’ Equity</w:t>
            </w:r>
          </w:p>
        </w:tc>
        <w:tc>
          <w:tcPr>
            <w:tcW w:w="1440" w:type="dxa"/>
            <w:vAlign w:val="bottom"/>
            <w:tcBorders>
              <w:bottom w:val="single" w:sz="8" w:color="auto"/>
            </w:tcBorders>
            <w:gridSpan w:val="2"/>
            <w:shd w:val="clear" w:color="auto" w:fill="D2D0EE"/>
          </w:tcPr>
          <w:p>
            <w:pPr>
              <w:jc w:val="center"/>
              <w:ind w:left="410"/>
              <w:spacing w:after="0"/>
              <w:rPr>
                <w:sz w:val="20"/>
                <w:szCs w:val="20"/>
                <w:color w:val="auto"/>
              </w:rPr>
            </w:pPr>
            <w:r>
              <w:rPr>
                <w:rFonts w:ascii="Verdana" w:cs="Verdana" w:eastAsia="Verdana" w:hAnsi="Verdana"/>
                <w:sz w:val="18"/>
                <w:szCs w:val="18"/>
                <w:b w:val="1"/>
                <w:bCs w:val="1"/>
                <w:color w:val="auto"/>
              </w:rPr>
              <w:t>584.3</w:t>
            </w:r>
          </w:p>
        </w:tc>
        <w:tc>
          <w:tcPr>
            <w:tcW w:w="2160" w:type="dxa"/>
            <w:vAlign w:val="bottom"/>
            <w:tcBorders>
              <w:bottom w:val="single" w:sz="8" w:color="auto"/>
            </w:tcBorders>
            <w:gridSpan w:val="3"/>
            <w:shd w:val="clear" w:color="auto" w:fill="D2D0EE"/>
          </w:tcPr>
          <w:p>
            <w:pPr>
              <w:jc w:val="center"/>
              <w:ind w:left="390"/>
              <w:spacing w:after="0"/>
              <w:rPr>
                <w:sz w:val="20"/>
                <w:szCs w:val="20"/>
                <w:color w:val="auto"/>
              </w:rPr>
            </w:pPr>
            <w:r>
              <w:rPr>
                <w:rFonts w:ascii="Verdana" w:cs="Verdana" w:eastAsia="Verdana" w:hAnsi="Verdana"/>
                <w:sz w:val="18"/>
                <w:szCs w:val="18"/>
                <w:b w:val="1"/>
                <w:bCs w:val="1"/>
                <w:color w:val="auto"/>
                <w:w w:val="96"/>
              </w:rPr>
              <w:t>547.1</w:t>
            </w:r>
          </w:p>
        </w:tc>
        <w:tc>
          <w:tcPr>
            <w:tcW w:w="140" w:type="dxa"/>
            <w:vAlign w:val="bottom"/>
            <w:tcBorders>
              <w:bottom w:val="single" w:sz="8" w:color="auto"/>
              <w:right w:val="single" w:sz="8" w:color="auto"/>
            </w:tcBorders>
            <w:shd w:val="clear" w:color="auto" w:fill="D2D0EE"/>
          </w:tcPr>
          <w:p>
            <w:pPr>
              <w:spacing w:after="0"/>
              <w:rPr>
                <w:sz w:val="21"/>
                <w:szCs w:val="21"/>
                <w:color w:val="auto"/>
              </w:rPr>
            </w:pPr>
          </w:p>
        </w:tc>
      </w:tr>
    </w:tbl>
    <w:p>
      <w:pPr>
        <w:spacing w:after="0" w:line="76" w:lineRule="exact"/>
        <w:rPr>
          <w:sz w:val="20"/>
          <w:szCs w:val="20"/>
          <w:color w:val="auto"/>
        </w:rPr>
      </w:pPr>
    </w:p>
    <w:p>
      <w:pPr>
        <w:ind w:left="340" w:right="20" w:hanging="332"/>
        <w:spacing w:after="0" w:line="193" w:lineRule="auto"/>
        <w:tabs>
          <w:tab w:leader="none" w:pos="153" w:val="left"/>
        </w:tabs>
        <w:numPr>
          <w:ilvl w:val="0"/>
          <w:numId w:val="24"/>
        </w:numPr>
        <w:rPr>
          <w:rFonts w:ascii="Verdana" w:cs="Verdana" w:eastAsia="Verdana" w:hAnsi="Verdana"/>
          <w:sz w:val="23"/>
          <w:szCs w:val="23"/>
          <w:color w:val="auto"/>
          <w:vertAlign w:val="superscript"/>
        </w:rPr>
      </w:pPr>
      <w:r>
        <w:rPr>
          <w:rFonts w:ascii="Verdana" w:cs="Verdana" w:eastAsia="Verdana" w:hAnsi="Verdana"/>
          <w:sz w:val="18"/>
          <w:szCs w:val="18"/>
          <w:i w:val="1"/>
          <w:iCs w:val="1"/>
          <w:color w:val="auto"/>
        </w:rPr>
        <w:t>Includes certain short-term investments (terms of less than 12 months) of €14.2M, making total cash, cash equivalents and short-term investments of €491.6M</w:t>
      </w:r>
    </w:p>
    <w:p>
      <w:pPr>
        <w:spacing w:after="0" w:line="4" w:lineRule="exact"/>
        <w:rPr>
          <w:sz w:val="20"/>
          <w:szCs w:val="20"/>
          <w:color w:val="auto"/>
        </w:rPr>
      </w:pPr>
    </w:p>
    <w:p>
      <w:pPr>
        <w:ind w:left="340" w:right="20" w:hanging="332"/>
        <w:spacing w:after="0" w:line="204" w:lineRule="auto"/>
        <w:tabs>
          <w:tab w:leader="none" w:pos="145" w:val="left"/>
        </w:tabs>
        <w:numPr>
          <w:ilvl w:val="0"/>
          <w:numId w:val="25"/>
        </w:numPr>
        <w:rPr>
          <w:rFonts w:ascii="Verdana" w:cs="Verdana" w:eastAsia="Verdana" w:hAnsi="Verdana"/>
          <w:sz w:val="23"/>
          <w:szCs w:val="23"/>
          <w:color w:val="auto"/>
          <w:vertAlign w:val="superscript"/>
        </w:rPr>
      </w:pPr>
      <w:r>
        <w:rPr>
          <w:rFonts w:ascii="Verdana" w:cs="Verdana" w:eastAsia="Verdana" w:hAnsi="Verdana"/>
          <w:sz w:val="18"/>
          <w:szCs w:val="18"/>
          <w:i w:val="1"/>
          <w:iCs w:val="1"/>
          <w:color w:val="auto"/>
        </w:rPr>
        <w:t>Includes both current and non-current portions of borrowings, convertible loan notes, derivative instruments, and lease liabilities</w:t>
      </w:r>
    </w:p>
    <w:p>
      <w:pPr>
        <w:sectPr>
          <w:pgSz w:w="11900" w:h="16838" w:orient="portrait"/>
          <w:cols w:equalWidth="0" w:num="1">
            <w:col w:w="11260"/>
          </w:cols>
          <w:pgMar w:left="320" w:top="846" w:right="319" w:bottom="1440" w:gutter="0" w:footer="0" w:header="0"/>
        </w:sectPr>
      </w:pPr>
    </w:p>
    <w:bookmarkStart w:id="59" w:name="page60"/>
    <w:bookmarkEnd w:id="59"/>
    <w:p>
      <w:pPr>
        <w:jc w:val="center"/>
        <w:ind w:right="-19"/>
        <w:spacing w:after="0"/>
        <w:rPr>
          <w:sz w:val="20"/>
          <w:szCs w:val="20"/>
          <w:color w:val="auto"/>
        </w:rPr>
      </w:pPr>
      <w:r>
        <w:rPr>
          <w:rFonts w:ascii="Verdana" w:cs="Verdana" w:eastAsia="Verdana" w:hAnsi="Verdana"/>
          <w:sz w:val="18"/>
          <w:szCs w:val="18"/>
          <w:b w:val="1"/>
          <w:bCs w:val="1"/>
          <w:color w:val="auto"/>
        </w:rPr>
        <w:t>*****</w:t>
      </w:r>
    </w:p>
    <w:p>
      <w:pPr>
        <w:spacing w:after="0" w:line="222" w:lineRule="auto"/>
        <w:rPr>
          <w:sz w:val="20"/>
          <w:szCs w:val="20"/>
          <w:color w:val="auto"/>
        </w:rPr>
      </w:pPr>
      <w:r>
        <w:rPr>
          <w:rFonts w:ascii="Verdana" w:cs="Verdana" w:eastAsia="Verdana" w:hAnsi="Verdana"/>
          <w:sz w:val="18"/>
          <w:szCs w:val="18"/>
          <w:b w:val="1"/>
          <w:bCs w:val="1"/>
          <w:color w:val="auto"/>
        </w:rPr>
        <w:t>About Abivax</w:t>
      </w:r>
    </w:p>
    <w:p>
      <w:pPr>
        <w:jc w:val="both"/>
        <w:spacing w:after="0" w:line="231" w:lineRule="auto"/>
        <w:rPr>
          <w:sz w:val="20"/>
          <w:szCs w:val="20"/>
          <w:color w:val="auto"/>
        </w:rPr>
      </w:pPr>
      <w:r>
        <w:rPr>
          <w:rFonts w:ascii="Verdana" w:cs="Verdana" w:eastAsia="Verdana" w:hAnsi="Verdana"/>
          <w:sz w:val="18"/>
          <w:szCs w:val="18"/>
          <w:color w:val="auto"/>
        </w:rPr>
        <w:t>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w:t>
      </w:r>
    </w:p>
    <w:p>
      <w:pPr>
        <w:spacing w:after="0" w:line="18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Contacts:</w:t>
      </w:r>
    </w:p>
    <w:p>
      <w:pPr>
        <w:spacing w:after="0" w:line="222" w:lineRule="auto"/>
        <w:rPr>
          <w:sz w:val="20"/>
          <w:szCs w:val="20"/>
          <w:color w:val="auto"/>
        </w:rPr>
      </w:pPr>
      <w:r>
        <w:rPr>
          <w:rFonts w:ascii="Verdana" w:cs="Verdana" w:eastAsia="Verdana" w:hAnsi="Verdana"/>
          <w:sz w:val="18"/>
          <w:szCs w:val="18"/>
          <w:color w:val="auto"/>
        </w:rPr>
        <w:t>Patrick Malloy</w:t>
      </w:r>
    </w:p>
    <w:p>
      <w:pPr>
        <w:spacing w:after="0" w:line="222" w:lineRule="auto"/>
        <w:rPr>
          <w:sz w:val="20"/>
          <w:szCs w:val="20"/>
          <w:color w:val="auto"/>
        </w:rPr>
      </w:pPr>
      <w:r>
        <w:rPr>
          <w:rFonts w:ascii="Verdana" w:cs="Verdana" w:eastAsia="Verdana" w:hAnsi="Verdana"/>
          <w:sz w:val="18"/>
          <w:szCs w:val="18"/>
          <w:color w:val="auto"/>
        </w:rPr>
        <w:t>SVP, Investor Relations</w:t>
      </w:r>
    </w:p>
    <w:p>
      <w:pPr>
        <w:spacing w:after="0" w:line="222" w:lineRule="auto"/>
        <w:rPr>
          <w:sz w:val="20"/>
          <w:szCs w:val="20"/>
          <w:color w:val="auto"/>
        </w:rPr>
      </w:pPr>
      <w:r>
        <w:rPr>
          <w:rFonts w:ascii="Verdana" w:cs="Verdana" w:eastAsia="Verdana" w:hAnsi="Verdana"/>
          <w:sz w:val="18"/>
          <w:szCs w:val="18"/>
          <w:color w:val="auto"/>
        </w:rPr>
        <w:t>Abivax SA</w:t>
      </w:r>
    </w:p>
    <w:p>
      <w:pPr>
        <w:spacing w:after="0" w:line="222" w:lineRule="auto"/>
        <w:rPr>
          <w:sz w:val="20"/>
          <w:szCs w:val="20"/>
          <w:color w:val="auto"/>
        </w:rPr>
      </w:pPr>
      <w:r>
        <w:rPr>
          <w:rFonts w:ascii="Verdana" w:cs="Verdana" w:eastAsia="Verdana" w:hAnsi="Verdana"/>
          <w:sz w:val="18"/>
          <w:szCs w:val="18"/>
          <w:color w:val="auto"/>
        </w:rPr>
        <w:t>patrick.malloy@abivax.com</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+1 847 987 4878</w:t>
      </w:r>
    </w:p>
    <w:p>
      <w:pPr>
        <w:spacing w:after="0" w:line="19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Media Contacts:</w:t>
      </w:r>
    </w:p>
    <w:p>
      <w:pPr>
        <w:spacing w:after="0" w:line="222" w:lineRule="auto"/>
        <w:rPr>
          <w:sz w:val="20"/>
          <w:szCs w:val="20"/>
          <w:color w:val="auto"/>
        </w:rPr>
      </w:pPr>
      <w:r>
        <w:rPr>
          <w:rFonts w:ascii="Verdana" w:cs="Verdana" w:eastAsia="Verdana" w:hAnsi="Verdana"/>
          <w:sz w:val="18"/>
          <w:szCs w:val="18"/>
          <w:b w:val="1"/>
          <w:bCs w:val="1"/>
          <w:color w:val="auto"/>
        </w:rPr>
        <w:t>LifeSci Communications</w:t>
      </w:r>
    </w:p>
    <w:p>
      <w:pPr>
        <w:spacing w:after="0" w:line="207" w:lineRule="auto"/>
        <w:rPr>
          <w:sz w:val="20"/>
          <w:szCs w:val="20"/>
          <w:color w:val="auto"/>
        </w:rPr>
      </w:pPr>
      <w:r>
        <w:rPr>
          <w:rFonts w:ascii="Verdana" w:cs="Verdana" w:eastAsia="Verdana" w:hAnsi="Verdana"/>
          <w:sz w:val="18"/>
          <w:szCs w:val="18"/>
          <w:color w:val="auto"/>
        </w:rPr>
        <w:t>Karissa Cross, PhD</w:t>
      </w:r>
    </w:p>
    <w:p>
      <w:pPr>
        <w:spacing w:after="0" w:line="207" w:lineRule="auto"/>
        <w:rPr>
          <w:sz w:val="20"/>
          <w:szCs w:val="20"/>
          <w:color w:val="auto"/>
        </w:rPr>
      </w:pPr>
      <w:r>
        <w:rPr>
          <w:rFonts w:ascii="Verdana" w:cs="Verdana" w:eastAsia="Verdana" w:hAnsi="Verdana"/>
          <w:sz w:val="18"/>
          <w:szCs w:val="18"/>
          <w:color w:val="auto"/>
        </w:rPr>
        <w:t>Associate Director</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0000FF"/>
        </w:rPr>
        <w:t>LSC_ABIVAX@lifescicomms.com</w:t>
      </w:r>
    </w:p>
    <w:p>
      <w:pPr>
        <w:spacing w:after="0" w:line="222"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FORWARD-LOOKING STATEMENTS</w:t>
      </w:r>
    </w:p>
    <w:p>
      <w:pPr>
        <w:spacing w:after="0" w:line="193"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This press release contains forward-looking statements, forecasts and estimates, including those relating to the Company’s business.</w:t>
      </w:r>
    </w:p>
    <w:p>
      <w:pPr>
        <w:ind w:right="180"/>
        <w:spacing w:after="0" w:line="208" w:lineRule="auto"/>
        <w:rPr>
          <w:sz w:val="20"/>
          <w:szCs w:val="20"/>
          <w:color w:val="auto"/>
        </w:rPr>
      </w:pPr>
      <w:r>
        <w:rPr>
          <w:rFonts w:ascii="Verdana" w:cs="Verdana" w:eastAsia="Verdana" w:hAnsi="Verdana"/>
          <w:sz w:val="16"/>
          <w:szCs w:val="16"/>
          <w:i w:val="1"/>
          <w:iCs w:val="1"/>
          <w:color w:val="auto"/>
        </w:rPr>
        <w:t>Words such as “anticipate,” “expect,” “future,” “potential,” “will” and variations of such words and similar expressions are intended to identify forward-looking statements. These forward-looking statements include statements concerning the potential therapeutic benefit</w:t>
      </w:r>
    </w:p>
    <w:p>
      <w:pPr>
        <w:ind w:right="80"/>
        <w:spacing w:after="0" w:line="216" w:lineRule="auto"/>
        <w:rPr>
          <w:sz w:val="20"/>
          <w:szCs w:val="20"/>
          <w:color w:val="auto"/>
        </w:rPr>
      </w:pPr>
      <w:r>
        <w:rPr>
          <w:rFonts w:ascii="Verdana" w:cs="Verdana" w:eastAsia="Verdana" w:hAnsi="Verdana"/>
          <w:sz w:val="16"/>
          <w:szCs w:val="16"/>
          <w:i w:val="1"/>
          <w:iCs w:val="1"/>
          <w:color w:val="auto"/>
        </w:rPr>
        <w:t>of obefazimod, the expected timing for completion of the Phase 3 ABTECT-UC maintenance trial and Phase 2b ENHANCE-CD induction trial of obefazimod and the availability and timing of results therefrom, the timing of regulatory filings including an NDA submission for obefazimod in UC, Abivax’s expectations for regulatory approval and commercialization of obefazimod for UC, Abivax’s cash runway, the timing for reporting Abivax’s half year 2026 financial results, and other statements that are not historical fact. Although Abivax’s</w:t>
      </w:r>
    </w:p>
    <w:p>
      <w:pPr>
        <w:spacing w:after="0" w:line="2" w:lineRule="exact"/>
        <w:rPr>
          <w:sz w:val="20"/>
          <w:szCs w:val="20"/>
          <w:color w:val="auto"/>
        </w:rPr>
      </w:pPr>
    </w:p>
    <w:p>
      <w:pPr>
        <w:ind w:right="180"/>
        <w:spacing w:after="0" w:line="208" w:lineRule="auto"/>
        <w:rPr>
          <w:sz w:val="20"/>
          <w:szCs w:val="20"/>
          <w:color w:val="auto"/>
        </w:rPr>
      </w:pPr>
      <w:r>
        <w:rPr>
          <w:rFonts w:ascii="Verdana" w:cs="Verdana" w:eastAsia="Verdana" w:hAnsi="Verdana"/>
          <w:sz w:val="16"/>
          <w:szCs w:val="16"/>
          <w:i w:val="1"/>
          <w:iCs w:val="1"/>
          <w:color w:val="auto"/>
        </w:rPr>
        <w:t>management believes that the expectations reflected in such forward-looking statements are reasonable, investors are cautioned that forward-looking information and statements are subject to various risks, contingencies and uncertainties, many of which are difficult to</w:t>
      </w:r>
    </w:p>
    <w:p>
      <w:pPr>
        <w:ind w:right="40"/>
        <w:spacing w:after="0" w:line="216" w:lineRule="auto"/>
        <w:rPr>
          <w:sz w:val="20"/>
          <w:szCs w:val="20"/>
          <w:color w:val="auto"/>
        </w:rPr>
      </w:pPr>
      <w:r>
        <w:rPr>
          <w:rFonts w:ascii="Verdana" w:cs="Verdana" w:eastAsia="Verdana" w:hAnsi="Verdana"/>
          <w:sz w:val="16"/>
          <w:szCs w:val="16"/>
          <w:i w:val="1"/>
          <w:iCs w:val="1"/>
          <w:color w:val="auto"/>
        </w:rPr>
        <w:t>predict and generally beyond the control of Abivax, that could cause actual results and developments to differ materially from those expressed in, or implied or projected by, the forward-looking information and statements. A description of these risks, contingencies and uncertainties can be found in the documents filed by the Company with the French Autorité des Marchés Financiers pursuant to its legal obligations including its universal registration document (Document d’Enregistrement Universel) and in its Annual Report on Form 20-F</w:t>
      </w:r>
    </w:p>
    <w:p>
      <w:pPr>
        <w:spacing w:after="0" w:line="2" w:lineRule="exact"/>
        <w:rPr>
          <w:sz w:val="20"/>
          <w:szCs w:val="20"/>
          <w:color w:val="auto"/>
        </w:rPr>
      </w:pPr>
    </w:p>
    <w:p>
      <w:pPr>
        <w:ind w:right="20"/>
        <w:spacing w:after="0" w:line="208" w:lineRule="auto"/>
        <w:rPr>
          <w:sz w:val="20"/>
          <w:szCs w:val="20"/>
          <w:color w:val="auto"/>
        </w:rPr>
      </w:pPr>
      <w:r>
        <w:rPr>
          <w:rFonts w:ascii="Verdana" w:cs="Verdana" w:eastAsia="Verdana" w:hAnsi="Verdana"/>
          <w:sz w:val="16"/>
          <w:szCs w:val="16"/>
          <w:i w:val="1"/>
          <w:iCs w:val="1"/>
          <w:color w:val="auto"/>
        </w:rPr>
        <w:t>for the fiscal year ended December 31, 2025 filed with the U.S. Securities and Exchange Commission under the caption “Risk Factors.” These risks, contingencies and uncertainties include, among other things, the uncertainties inherent in research and development, future</w:t>
      </w:r>
    </w:p>
    <w:p>
      <w:pPr>
        <w:ind w:right="140"/>
        <w:spacing w:after="0" w:line="216" w:lineRule="auto"/>
        <w:rPr>
          <w:sz w:val="20"/>
          <w:szCs w:val="20"/>
          <w:color w:val="auto"/>
        </w:rPr>
      </w:pPr>
      <w:r>
        <w:rPr>
          <w:rFonts w:ascii="Verdana" w:cs="Verdana" w:eastAsia="Verdana" w:hAnsi="Verdana"/>
          <w:sz w:val="16"/>
          <w:szCs w:val="16"/>
          <w:i w:val="1"/>
          <w:iCs w:val="1"/>
          <w:color w:val="auto"/>
        </w:rPr>
        <w:t>clinical data and analysis, decisions by regulatory authorities, such as the FDA or the EMA, regarding whether and when to approve any drug candidate, as well as their decisions regarding labelling and other matters that could affect the availability or commercial potential of such product candidates, and the availability of funding sufficient for the Company’s foreseeable and unforeseeable operating expenses and capital expenditure requirements. Special consideration should be given to the potential hurdles of clinical and</w:t>
      </w:r>
    </w:p>
    <w:p>
      <w:pPr>
        <w:spacing w:after="0" w:line="2" w:lineRule="exact"/>
        <w:rPr>
          <w:sz w:val="20"/>
          <w:szCs w:val="20"/>
          <w:color w:val="auto"/>
        </w:rPr>
      </w:pPr>
    </w:p>
    <w:p>
      <w:pPr>
        <w:ind w:right="300"/>
        <w:spacing w:after="0" w:line="208" w:lineRule="auto"/>
        <w:rPr>
          <w:sz w:val="20"/>
          <w:szCs w:val="20"/>
          <w:color w:val="auto"/>
        </w:rPr>
      </w:pPr>
      <w:r>
        <w:rPr>
          <w:rFonts w:ascii="Verdana" w:cs="Verdana" w:eastAsia="Verdana" w:hAnsi="Verdana"/>
          <w:sz w:val="16"/>
          <w:szCs w:val="16"/>
          <w:i w:val="1"/>
          <w:iCs w:val="1"/>
          <w:color w:val="auto"/>
        </w:rPr>
        <w:t>pharmaceutical development, including further assessment by the Company and regulatory agencies and IRBs/ethics committees following the assessment of preclinical, pharmacokinetic, carcinogenicity, toxicity, CMC and clinical data. Furthermore, these forward-</w:t>
      </w:r>
    </w:p>
    <w:p>
      <w:pPr>
        <w:ind w:right="220"/>
        <w:spacing w:after="0" w:line="216" w:lineRule="auto"/>
        <w:rPr>
          <w:sz w:val="20"/>
          <w:szCs w:val="20"/>
          <w:color w:val="auto"/>
        </w:rPr>
      </w:pPr>
      <w:r>
        <w:rPr>
          <w:rFonts w:ascii="Verdana" w:cs="Verdana" w:eastAsia="Verdana" w:hAnsi="Verdana"/>
          <w:sz w:val="16"/>
          <w:szCs w:val="16"/>
          <w:i w:val="1"/>
          <w:iCs w:val="1"/>
          <w:color w:val="auto"/>
        </w:rPr>
        <w:t>looking statements, forecasts and estimates are made only as of the date of this press release. Readers are cautioned not to place undue reliance on these forward-looking statements. Abivax disclaims any obligation to update these forward-looking statements, forecasts or estimates to reflect any subsequent changes that the Company becomes aware of, except as required by law. Information about pharmaceutical products (including products currently in development) that is included in this press release is not intended to</w:t>
      </w:r>
    </w:p>
    <w:p>
      <w:pPr>
        <w:spacing w:after="0" w:line="2" w:lineRule="exact"/>
        <w:rPr>
          <w:sz w:val="20"/>
          <w:szCs w:val="20"/>
          <w:color w:val="auto"/>
        </w:rPr>
      </w:pPr>
    </w:p>
    <w:p>
      <w:pPr>
        <w:ind w:right="180"/>
        <w:spacing w:after="0" w:line="208" w:lineRule="auto"/>
        <w:rPr>
          <w:sz w:val="20"/>
          <w:szCs w:val="20"/>
          <w:color w:val="auto"/>
        </w:rPr>
      </w:pPr>
      <w:r>
        <w:rPr>
          <w:rFonts w:ascii="Verdana" w:cs="Verdana" w:eastAsia="Verdana" w:hAnsi="Verdana"/>
          <w:sz w:val="16"/>
          <w:szCs w:val="16"/>
          <w:i w:val="1"/>
          <w:iCs w:val="1"/>
          <w:color w:val="auto"/>
        </w:rPr>
        <w:t>constitute an advertisement. This press release is for information purposes only, and the information contained herein does not constitute either an offer to sell or the solicitation of an offer to purchase or subscribe for securities of the Company in any jurisdiction.</w:t>
      </w:r>
    </w:p>
    <w:p>
      <w:pPr>
        <w:ind w:right="240"/>
        <w:spacing w:after="0" w:line="231" w:lineRule="auto"/>
        <w:rPr>
          <w:sz w:val="20"/>
          <w:szCs w:val="20"/>
          <w:color w:val="auto"/>
        </w:rPr>
      </w:pPr>
      <w:r>
        <w:rPr>
          <w:rFonts w:ascii="Verdana" w:cs="Verdana" w:eastAsia="Verdana" w:hAnsi="Verdana"/>
          <w:sz w:val="16"/>
          <w:szCs w:val="16"/>
          <w:i w:val="1"/>
          <w:iCs w:val="1"/>
          <w:color w:val="auto"/>
        </w:rPr>
        <w:t>Similarly, it does not give and should not be treated as giving investment advice. It has no connection with the investment objectives, financial situation or specific needs of any recipient. It should not be regarded by recipients as a substitute for exercise of their own judgment. All opinions expressed herein are subject to change without notice. The distribution of this document may be</w:t>
      </w:r>
    </w:p>
    <w:p>
      <w:pPr>
        <w:sectPr>
          <w:pgSz w:w="11900" w:h="16838" w:orient="portrait"/>
          <w:cols w:equalWidth="0" w:num="1">
            <w:col w:w="11240"/>
          </w:cols>
          <w:pgMar w:left="320" w:top="1400" w:right="339" w:bottom="1440" w:gutter="0" w:footer="0" w:header="0"/>
        </w:sectPr>
      </w:pPr>
    </w:p>
    <w:bookmarkStart w:id="60" w:name="page61"/>
    <w:bookmarkEnd w:id="60"/>
    <w:p>
      <w:pPr>
        <w:spacing w:after="0" w:line="238" w:lineRule="auto"/>
        <w:rPr>
          <w:sz w:val="20"/>
          <w:szCs w:val="20"/>
          <w:color w:val="auto"/>
        </w:rPr>
      </w:pPr>
      <w:r>
        <w:rPr>
          <w:rFonts w:ascii="Verdana" w:cs="Verdana" w:eastAsia="Verdana" w:hAnsi="Verdana"/>
          <w:sz w:val="16"/>
          <w:szCs w:val="16"/>
          <w:i w:val="1"/>
          <w:iCs w:val="1"/>
          <w:color w:val="auto"/>
        </w:rPr>
        <w:t>restricted by law in certain jurisdictions. Persons into whose possession this document comes are required to inform themselves about and to observe any such restrictions.</w:t>
      </w:r>
    </w:p>
    <w:sectPr>
      <w:pgSz w:w="11900" w:h="16838" w:orient="portrait"/>
      <w:cols w:equalWidth="0" w:num="1">
        <w:col w:w="11000"/>
      </w:cols>
      <w:pgMar w:left="320" w:top="1408"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lowerRoman"/>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4"/>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lvl w:ilvl="1">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bullet"/>
      <w:start w:val="1"/>
    </w:lvl>
  </w:abstractNum>
  <w:abstractNum w:abstractNumId="24">
    <w:nsid w:val="79838CB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2026-05-22T15:24:12Z</dcterms:created>
  <dcterms:modified xsi:type="dcterms:W3CDTF">2026-05-22T15:24:12Z</dcterms:modified>
</cp:coreProperties>
</file>