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40" w:right="8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Abivax SA</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+33 (0) 1 53 83 08 41</w:t>
      </w:r>
    </w:p>
    <w:p>
      <w:pPr>
        <w:spacing w:after="0" w:line="2" w:lineRule="exact"/>
        <w:rPr>
          <w:sz w:val="24"/>
          <w:szCs w:val="24"/>
          <w:color w:val="auto"/>
        </w:rPr>
      </w:pPr>
    </w:p>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248920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 Agreement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July 23, 2025, Abivax SA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Leerink Partners LLC, Piper Sandler &amp; Co. and Guggenheim Securities, LLC, as representatives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in connection with the issuance and sale by the Company in a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10,156,000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one ordinary share of the Company, nominal value €0.01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at a public offering price of $64.00 per ADS. Net proceeds to the Company from the Offering, after deducting the underwriting discounts and commissions and estimated offering expenses payable by the Company, are expected to be approximately $608.6 million (€519.0 million).</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Offering was made pursuant to the Company’s automatic shelf registration statement on Form F-3 (File No. 333-288884)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23, 2025 and effective upon filing, as supplemented by a preliminary prospectus supplement dated July 23, 2025, filed with the SEC on July 23, 2025, and a final prospectus supplement dated July 23, 2025, filed with the SEC on July 24, 2025. The Offering is expected to close on July 28, 2025, subject to customary closing conditions.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and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does not purport to be a complete description of the rights and obligations of the parties thereunder, and is qualified in its entirety by reference to the full text of the Underwriting Agreement, which is filed herewith as Exhibit 1.1 and incorporated by reference herein.</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legal opinion of Dechert (Paris) LLP relating to the legality of the issuance and sale of the Ordinary Shares underlying the ADSs offered in the Offering is filed herewith as Exhibit 5.1 and incorporated by reference herein.</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Report on Form 6-K, including the information contained in Exhibits 1.1, 5.1 and 23.1, shall be deemed to be incorporated by reference into the Company’s Registration Statements on Form F-3 (File Nos. 333-288884 and 333-283336) and Form S-8 (File No. 333-286069) and to be part thereof from the date on which this Report is filed, to the extent not superseded by documents or reports subsequently filed.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35" w:lineRule="exact"/>
        <w:rPr>
          <w:sz w:val="20"/>
          <w:szCs w:val="20"/>
          <w:color w:val="auto"/>
        </w:rPr>
      </w:pPr>
    </w:p>
    <w:p>
      <w:pPr>
        <w:ind w:left="660" w:right="1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as of July 23, 2025, among the Company and Leerink Partners LLC, Piper Sandler &amp; Co. and Guggenheim Securities, LLC, as representatives of the several Underwriters named therein</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Dechert (Paris) LLP, French counsel to the Company</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Dechert (Paris) LLP (included in Exhibit 5.1)</w:t>
      </w:r>
    </w:p>
    <w:p>
      <w:pPr>
        <w:sectPr>
          <w:pgSz w:w="11900" w:h="16838" w:orient="portrait"/>
          <w:cols w:equalWidth="0" w:num="1">
            <w:col w:w="10920"/>
          </w:cols>
          <w:pgMar w:left="440" w:top="26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Statements in this Report on Form 6-K that are not strictly historical in nature, including statements regarding the Company’s expectations with respect to the closing of the Offering and the receipt of gross proceeds, are forward-looking statements. These statements are only predictions based on current information and expectations and involve a number of risks and uncertainties. Actual events or results may differ materially from those projected in any of such statements due to various factors, including market risks and uncertainties and risks relating to the satisfaction of customary closing conditions for an offering of securities. Given these uncertainties, the reader is advised not to place any undue reliance on such forward-looking statements. These forward-looking statements speak only as of the date of this report. The Company undertakes no obligation to publicly update or revise the information in this report, including any forward-looking statements, except as may be required by law.</w:t>
      </w:r>
    </w:p>
    <w:p>
      <w:pPr>
        <w:sectPr>
          <w:pgSz w:w="11900" w:h="16838" w:orient="portrait"/>
          <w:cols w:equalWidth="0" w:num="1">
            <w:col w:w="10940"/>
          </w:cols>
          <w:pgMar w:left="440" w:top="268"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8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 </w:t>
            </w:r>
          </w:p>
        </w:tc>
        <w:tc>
          <w:tcPr>
            <w:tcW w:w="5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Abivax SA</w:t>
            </w:r>
          </w:p>
        </w:tc>
      </w:tr>
      <w:tr>
        <w:trPr>
          <w:trHeight w:val="234"/>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58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de Garidel</w:t>
            </w:r>
          </w:p>
        </w:tc>
      </w:tr>
      <w:tr>
        <w:trPr>
          <w:trHeight w:val="205"/>
        </w:trPr>
        <w:tc>
          <w:tcPr>
            <w:tcW w:w="5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de Garidel</w:t>
            </w:r>
          </w:p>
        </w:tc>
      </w:tr>
      <w:tr>
        <w:trPr>
          <w:trHeight w:val="234"/>
        </w:trPr>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10,156,000 American Depositary Shares,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Each Representing One Ordinary Share</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(Nominal Value €0.01 per Share)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July 23, 2025 (11:59 PM ET time)</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July 24, 2025 (5:59 AM CET time)</w:t>
      </w:r>
    </w:p>
    <w:p>
      <w:pPr>
        <w:sectPr>
          <w:pgSz w:w="11900" w:h="16838" w:orient="portrait"/>
          <w:cols w:equalWidth="0" w:num="1">
            <w:col w:w="10020"/>
          </w:cols>
          <w:pgMar w:left="1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23, 2025 (11:59 PM ET time)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24, 2025 (5:59 AM CET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several Underwriters listed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1301 Avenue of the Americas</w:t>
      </w:r>
    </w:p>
    <w:p>
      <w:pPr>
        <w:ind w:left="440"/>
        <w:spacing w:after="0" w:line="181"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jc w:val="both"/>
        <w:ind w:left="440" w:right="9000" w:hanging="4"/>
        <w:spacing w:after="0" w:line="290" w:lineRule="auto"/>
        <w:tabs>
          <w:tab w:leader="none" w:pos="7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Madison Avenue New York, NY 10017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French Republic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10,156,000 of its ordinary shares, nominal value of €0.01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delivered in the form of an aggregate of 10,156,000 American Depositary Shares, each representing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Company also proposes to issue and sell to the several Underwriters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an additional 1,523,400 Ordinary Shares, to be delivered in the form of an aggregate of 1,523,400 American Depositary Shares,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one Ordinary Share (the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if and to the extent that Leerink Partners LLC, Piper Sandler &amp; Co. and Guggenheim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LLC, as representatives of the offering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shall have determined to exercise, on behalf of the Underwriters,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such Additional Securities granted to the Underwriters, acting severally and not jointly, in Section 2 hereof. The Firm Securities and all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Additional Securities are hereinafter collectively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public offering of the Securities is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Unless the context otherwise requires, each reference to the Firm Securities, the Additional Securities or the Securities herein also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underlying the ADSs (the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6" w:name="page7"/>
    <w:bookmarkEnd w:id="6"/>
    <w:p>
      <w:pPr>
        <w:jc w:val="both"/>
        <w:ind w:right="60" w:firstLine="440"/>
        <w:spacing w:after="0" w:line="22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will be issued by way of a capital increase without preferential subscription rights for existing shareholders under the provisions of Article L. 225-136 of the French Commercial Code, pursuant to the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resolution of the Company’s combined general shareholders’ meeting held on June 6, 2025.</w:t>
      </w:r>
    </w:p>
    <w:p>
      <w:pPr>
        <w:spacing w:after="0" w:line="195" w:lineRule="exact"/>
        <w:rPr>
          <w:sz w:val="20"/>
          <w:szCs w:val="20"/>
          <w:color w:val="auto"/>
        </w:rPr>
      </w:pPr>
    </w:p>
    <w:p>
      <w:pPr>
        <w:jc w:val="both"/>
        <w:ind w:right="480" w:firstLine="440"/>
        <w:spacing w:after="0" w:line="268" w:lineRule="auto"/>
        <w:rPr>
          <w:sz w:val="20"/>
          <w:szCs w:val="20"/>
          <w:color w:val="auto"/>
        </w:rPr>
      </w:pPr>
      <w:r>
        <w:rPr>
          <w:rFonts w:ascii="Times New Roman" w:cs="Times New Roman" w:eastAsia="Times New Roman" w:hAnsi="Times New Roman"/>
          <w:sz w:val="18"/>
          <w:szCs w:val="18"/>
          <w:color w:val="auto"/>
        </w:rPr>
        <w:t>The Underlying Shares are to be deposited pursuant to a deposit agreement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October 24, 2023, among the Company, Citibank, N.A., as the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holders and beneficial holders, from time to time, of the American Depositary Receipts (the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issued by the Depositary and evidencing the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F-3 (File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333-288884), including a preliminary prospectus, relating to the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issued from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 by the Company. The registration statement as amended to the date of this Agreement, including the information (if any) deemed to be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registration statement at the time of effectiveness pursuant to Rule 430A or Rule 430B under the Securities Act of 1933, as amended (the “</w:t>
      </w:r>
      <w:r>
        <w:rPr>
          <w:rFonts w:ascii="Times New Roman" w:cs="Times New Roman" w:eastAsia="Times New Roman" w:hAnsi="Times New Roman"/>
          <w:sz w:val="17"/>
          <w:szCs w:val="17"/>
          <w:b w:val="1"/>
          <w:bCs w:val="1"/>
          <w:color w:val="auto"/>
        </w:rPr>
        <w:t>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related prospectus covering the Shelf Securities, dated, July 23, 2025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used to confirm sales of the Securities (or in the form first made available to the Underwriters by the Company to meet requests of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specifically relating to the Securities in the form first used to confirm sales of Securities (or in the form first made available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by the Company to meet requests of purchasers pursuant to Rule 173 under the Securities Act),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The Company has filed with the Commission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F-6 (File No. 333-274845) relating to the ADSs (such registration statement on Form F-6, including all exhibits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through the time such registration statement becomes effective, being hereinafter referred to as the “</w:t>
      </w:r>
      <w:r>
        <w:rPr>
          <w:rFonts w:ascii="Times New Roman" w:cs="Times New Roman" w:eastAsia="Times New Roman" w:hAnsi="Times New Roman"/>
          <w:sz w:val="18"/>
          <w:szCs w:val="18"/>
          <w:b w:val="1"/>
          <w:bCs w:val="1"/>
          <w:color w:val="auto"/>
        </w:rPr>
        <w:t>ADS Registration Statement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The Company has (i) prepared and filed with the French Financial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a French-language universal registration document (</w:t>
      </w:r>
      <w:r>
        <w:rPr>
          <w:rFonts w:ascii="Times New Roman" w:cs="Times New Roman" w:eastAsia="Times New Roman" w:hAnsi="Times New Roman"/>
          <w:sz w:val="18"/>
          <w:szCs w:val="18"/>
          <w:i w:val="1"/>
          <w:iCs w:val="1"/>
          <w:color w:val="auto"/>
        </w:rPr>
        <w:t>Document d’Enregistrement Universel</w:t>
      </w:r>
      <w:r>
        <w:rPr>
          <w:rFonts w:ascii="Times New Roman" w:cs="Times New Roman" w:eastAsia="Times New Roman" w:hAnsi="Times New Roman"/>
          <w:sz w:val="18"/>
          <w:szCs w:val="18"/>
          <w:color w:val="auto"/>
        </w:rPr>
        <w:t>) under number D. 25-0141 on March 24, 2025 (the “</w:t>
      </w:r>
      <w:r>
        <w:rPr>
          <w:rFonts w:ascii="Times New Roman" w:cs="Times New Roman" w:eastAsia="Times New Roman" w:hAnsi="Times New Roman"/>
          <w:sz w:val="18"/>
          <w:szCs w:val="18"/>
          <w:b w:val="1"/>
          <w:bCs w:val="1"/>
          <w:color w:val="auto"/>
        </w:rPr>
        <w:t>Universal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Document</w:t>
      </w:r>
      <w:r>
        <w:rPr>
          <w:rFonts w:ascii="Times New Roman" w:cs="Times New Roman" w:eastAsia="Times New Roman" w:hAnsi="Times New Roman"/>
          <w:sz w:val="18"/>
          <w:szCs w:val="18"/>
          <w:color w:val="auto"/>
        </w:rPr>
        <w:t>”) and (ii) prepared and published on June 2, 2025 French-language unaudited interim condensed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as of March 31, 2025 (the “</w:t>
      </w:r>
      <w:r>
        <w:rPr>
          <w:rFonts w:ascii="Times New Roman" w:cs="Times New Roman" w:eastAsia="Times New Roman" w:hAnsi="Times New Roman"/>
          <w:sz w:val="18"/>
          <w:szCs w:val="18"/>
          <w:b w:val="1"/>
          <w:bCs w:val="1"/>
          <w:color w:val="auto"/>
        </w:rPr>
        <w:t>Unaudited Interim Condensed Consolidated Financial Statements</w:t>
      </w:r>
      <w:r>
        <w:rPr>
          <w:rFonts w:ascii="Times New Roman" w:cs="Times New Roman" w:eastAsia="Times New Roman" w:hAnsi="Times New Roman"/>
          <w:sz w:val="18"/>
          <w:szCs w:val="18"/>
          <w:color w:val="auto"/>
        </w:rPr>
        <w:t>”, together with the Universal Registration Document, the “</w:t>
      </w:r>
      <w:r>
        <w:rPr>
          <w:rFonts w:ascii="Times New Roman" w:cs="Times New Roman" w:eastAsia="Times New Roman" w:hAnsi="Times New Roman"/>
          <w:sz w:val="18"/>
          <w:szCs w:val="18"/>
          <w:b w:val="1"/>
          <w:bCs w:val="1"/>
          <w:color w:val="auto"/>
        </w:rPr>
        <w:t>Information Documents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also published or, will prepare, as the case may be, in French and English, (i) a press release on July 23, 2025 announcing the main terms and conditions of the Offering (the “</w:t>
      </w:r>
      <w:r>
        <w:rPr>
          <w:rFonts w:ascii="Times New Roman" w:cs="Times New Roman" w:eastAsia="Times New Roman" w:hAnsi="Times New Roman"/>
          <w:sz w:val="18"/>
          <w:szCs w:val="18"/>
          <w:b w:val="1"/>
          <w:bCs w:val="1"/>
          <w:color w:val="auto"/>
        </w:rPr>
        <w:t>Launch Press Release</w:t>
      </w:r>
      <w:r>
        <w:rPr>
          <w:rFonts w:ascii="Times New Roman" w:cs="Times New Roman" w:eastAsia="Times New Roman" w:hAnsi="Times New Roman"/>
          <w:sz w:val="18"/>
          <w:szCs w:val="18"/>
          <w:color w:val="auto"/>
        </w:rPr>
        <w:t>”) and (ii) a press release to be issued by the Company immediately after the execution of this Agreement setting forth, in particular, the Public Offering Price (as such term is defined in Section 2 below) and, as the case may be, the press release to be published upon issuance and sale of any Additional Securities by the Company, (the “</w:t>
      </w:r>
      <w:r>
        <w:rPr>
          <w:rFonts w:ascii="Times New Roman" w:cs="Times New Roman" w:eastAsia="Times New Roman" w:hAnsi="Times New Roman"/>
          <w:sz w:val="18"/>
          <w:szCs w:val="18"/>
          <w:b w:val="1"/>
          <w:bCs w:val="1"/>
          <w:color w:val="auto"/>
        </w:rPr>
        <w:t>Pricing Press Release</w:t>
      </w:r>
      <w:r>
        <w:rPr>
          <w:rFonts w:ascii="Times New Roman" w:cs="Times New Roman" w:eastAsia="Times New Roman" w:hAnsi="Times New Roman"/>
          <w:sz w:val="18"/>
          <w:szCs w:val="18"/>
          <w:color w:val="auto"/>
        </w:rPr>
        <w:t>,” together with the Launch Press Release, the “</w:t>
      </w:r>
      <w:r>
        <w:rPr>
          <w:rFonts w:ascii="Times New Roman" w:cs="Times New Roman" w:eastAsia="Times New Roman" w:hAnsi="Times New Roman"/>
          <w:sz w:val="18"/>
          <w:szCs w:val="18"/>
          <w:b w:val="1"/>
          <w:bCs w:val="1"/>
          <w:color w:val="auto"/>
        </w:rPr>
        <w:t>Press Releases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Universal Registration Document, the Unaudited Interim Condensed Consolidated Financial Statements, the Press Releases, and any amendments or supplements thereto, and the documents that are or will be incorporated by reference therein are each hereinafter referred to as 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Public Documents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Greenshoe Press Release</w:t>
      </w:r>
      <w:r>
        <w:rPr>
          <w:rFonts w:ascii="Times New Roman" w:cs="Times New Roman" w:eastAsia="Times New Roman" w:hAnsi="Times New Roman"/>
          <w:sz w:val="18"/>
          <w:szCs w:val="18"/>
          <w:color w:val="auto"/>
        </w:rPr>
        <w:t>” means a press release issued by the Company in connection with the Option Closing Date (as defined in Section 2).</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documents and pricing information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road show” as defined in Rule 433(h)(5) under the Securities Act that has been made available without restriction to any person. As used herein, the terms “Registration Statement,” “ADS Registration Statement,” “Basic Prospectus,” “preliminary prospectus,” “Time of Sale Prospectus” and “Prospectus” shall include the documents, if any, incorporated by reference therein as of the date hereof. The terms “supplement,” “amendment” and “amend” as used herein with respect to the Registration Statement, the ADS Registration Statement, the Basic Prospectus, the preliminary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87" w:lineRule="exact"/>
        <w:rPr>
          <w:sz w:val="20"/>
          <w:szCs w:val="20"/>
          <w:color w:val="auto"/>
        </w:rPr>
      </w:pPr>
    </w:p>
    <w:p>
      <w:pPr>
        <w:ind w:right="120" w:firstLine="436"/>
        <w:spacing w:after="0" w:line="284"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as of the date hereof,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Date and as of the Option Closing Date that:</w:t>
      </w:r>
    </w:p>
    <w:p>
      <w:pPr>
        <w:spacing w:after="0" w:line="52" w:lineRule="exact"/>
        <w:rPr>
          <w:rFonts w:ascii="Times New Roman" w:cs="Times New Roman" w:eastAsia="Times New Roman" w:hAnsi="Times New Roman"/>
          <w:sz w:val="18"/>
          <w:szCs w:val="18"/>
          <w:color w:val="auto"/>
        </w:rPr>
      </w:pPr>
    </w:p>
    <w:p>
      <w:pPr>
        <w:ind w:left="440" w:right="40" w:firstLine="419"/>
        <w:spacing w:after="0" w:line="274" w:lineRule="auto"/>
        <w:tabs>
          <w:tab w:leader="none" w:pos="1108"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Registration Statement and the ADS Registration Statement has become effective; no stop order suspending the effectiveness of the Registration Statement or the ADS Registration Statement is in effect, and no proceedings for such purpose or pursuant to Section 8A under the Securities Act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8" w:name="page9"/>
    <w:bookmarkEnd w:id="8"/>
    <w:p>
      <w:pPr>
        <w:ind w:firstLine="419"/>
        <w:spacing w:after="0" w:line="252"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and the ADS Registration Statement, when each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the ADS Registration Statement, at the respective time at which each was declared effective,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and at the Closing Date,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as of its date, contain and, as amended or supplemented, if applicable, as of the date of such amendment or supplement, or as of the Closing Date and each Option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8(b).</w:t>
      </w:r>
    </w:p>
    <w:p>
      <w:pPr>
        <w:spacing w:after="0" w:line="79" w:lineRule="exact"/>
        <w:rPr>
          <w:rFonts w:ascii="Times New Roman" w:cs="Times New Roman" w:eastAsia="Times New Roman" w:hAnsi="Times New Roman"/>
          <w:sz w:val="18"/>
          <w:szCs w:val="18"/>
          <w:color w:val="auto"/>
        </w:rPr>
      </w:pPr>
    </w:p>
    <w:p>
      <w:pPr>
        <w:ind w:right="240" w:firstLine="419"/>
        <w:spacing w:after="0" w:line="257" w:lineRule="auto"/>
        <w:tabs>
          <w:tab w:leader="none" w:pos="6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filings of the Universal Registration Document, the Company has complied, to the AMF’s satisfaction, with all requests of the AMF for additional or supplemental information, if any. No order suspending the effectiveness of the Universal Registration Document has been issued by the AMF, nor has, to the Company’s knowledge, any challenge to the filing with the AMF or the use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Universal Registration Document been filed with any court.</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9" w:name="page10"/>
    <w:bookmarkEnd w:id="9"/>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Universal Registration Document and the Offering Press Releases conformed, conform and will conform, as appropriate, with the requirements set forth by applicable laws, including the General Regulations of the AMF, the AMF’s guidelines and Regulation (EU) 2017/1129 of the European Parliament and of the Council of 14 June 2017, as amended, and Delegated Regulations (EU) No. 2019/980 and No. 2019/979. Each of the Public Documents, as of the date hereof is accurate, correct and true in all material respects and as amended or supplemented, does not and, on the Closing Date and on any date on which Additional Securities are purchased, will not, contain any untrue statement of a material fact or omit to state a material fact necessary to make the statements therein, in the light of the circumstances under which they were made, not misleading; except that the representations or warranties set forth in this paragraph do not apply to statements or omissions in the Public Documents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8(b).</w:t>
      </w:r>
    </w:p>
    <w:p>
      <w:pPr>
        <w:spacing w:after="0" w:line="86"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The Public Documents contain the necessary information which is material to an investor for making an informed assessment of the assets and liabilities, profit and losses, financial position, and prospects of the Company and on the rights attached to the Ordinary Shares. All notices, statements, opinions, estimates, statements of intent, projections made by the Company in the Public Documents have been prepared in good faith and on reasonable grounds. The information contained in the Information Documents conforms or will conform in all material respects to the information contained in the Registration Statement, the Time of Sale Prospectus and the Prospectus.</w:t>
      </w:r>
    </w:p>
    <w:p>
      <w:pPr>
        <w:spacing w:after="0" w:line="75" w:lineRule="exact"/>
        <w:rPr>
          <w:sz w:val="20"/>
          <w:szCs w:val="20"/>
          <w:color w:val="auto"/>
        </w:rPr>
      </w:pPr>
    </w:p>
    <w:p>
      <w:pPr>
        <w:ind w:right="60" w:firstLine="419"/>
        <w:spacing w:after="0" w:line="254"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10" w:name="page11"/>
    <w:bookmarkEnd w:id="10"/>
    <w:p>
      <w:pPr>
        <w:ind w:right="20" w:firstLine="419"/>
        <w:spacing w:after="0" w:line="253"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been duly organized and is validly existing as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with a board of directors (</w:t>
      </w:r>
      <w:r>
        <w:rPr>
          <w:rFonts w:ascii="Times New Roman" w:cs="Times New Roman" w:eastAsia="Times New Roman" w:hAnsi="Times New Roman"/>
          <w:sz w:val="18"/>
          <w:szCs w:val="18"/>
          <w:i w:val="1"/>
          <w:iCs w:val="1"/>
          <w:color w:val="auto"/>
        </w:rPr>
        <w:t>société anonyme à conseil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d’administration</w:t>
      </w:r>
      <w:r>
        <w:rPr>
          <w:rFonts w:ascii="Times New Roman" w:cs="Times New Roman" w:eastAsia="Times New Roman" w:hAnsi="Times New Roman"/>
          <w:sz w:val="18"/>
          <w:szCs w:val="18"/>
          <w:color w:val="auto"/>
        </w:rPr>
        <w:t>), under the laws of France, duly registered with the</w:t>
      </w:r>
      <w:r>
        <w:rPr>
          <w:rFonts w:ascii="Times New Roman" w:cs="Times New Roman" w:eastAsia="Times New Roman" w:hAnsi="Times New Roman"/>
          <w:sz w:val="18"/>
          <w:szCs w:val="18"/>
          <w:i w:val="1"/>
          <w:iCs w:val="1"/>
          <w:color w:val="auto"/>
        </w:rPr>
        <w:t xml:space="preserve"> registre du commerce et des sociétés </w:t>
      </w:r>
      <w:r>
        <w:rPr>
          <w:rFonts w:ascii="Times New Roman" w:cs="Times New Roman" w:eastAsia="Times New Roman" w:hAnsi="Times New Roman"/>
          <w:sz w:val="18"/>
          <w:szCs w:val="18"/>
          <w:color w:val="auto"/>
        </w:rPr>
        <w:t>of Paris under number 799 363 718,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corporate power and authority to own or lease its property and to conduct its business as described in each of the Registration Statement, the Time of Sale Prospectus, the Prospectus and the Information Documents and to enter into, and perform its obligations under this Agreement; and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The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of the Company comply with the requirements of applicable French law and are in full force and effect in all material respects; the purchase and sale of the Securities pursuant to this Agreement are in the Company’s corporate interest and serving the Company’s corporate purpose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as set forth in the Company’s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and are on an arm’s-length basis between the Company, on the one hand, and the Underwriters and any affiliate through which they may be acting, on the other.</w:t>
      </w:r>
    </w:p>
    <w:p>
      <w:pPr>
        <w:spacing w:after="0" w:line="83" w:lineRule="exact"/>
        <w:rPr>
          <w:rFonts w:ascii="Times New Roman" w:cs="Times New Roman" w:eastAsia="Times New Roman" w:hAnsi="Times New Roman"/>
          <w:sz w:val="18"/>
          <w:szCs w:val="18"/>
          <w:color w:val="auto"/>
        </w:rPr>
      </w:pPr>
    </w:p>
    <w:p>
      <w:pPr>
        <w:jc w:val="both"/>
        <w:ind w:right="260" w:firstLine="419"/>
        <w:spacing w:after="0" w:line="315" w:lineRule="auto"/>
        <w:tabs>
          <w:tab w:leader="none" w:pos="64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of the Company’s board of directors (</w:t>
      </w:r>
      <w:r>
        <w:rPr>
          <w:rFonts w:ascii="Times New Roman" w:cs="Times New Roman" w:eastAsia="Times New Roman" w:hAnsi="Times New Roman"/>
          <w:sz w:val="17"/>
          <w:szCs w:val="17"/>
          <w:i w:val="1"/>
          <w:iCs w:val="1"/>
          <w:color w:val="auto"/>
        </w:rPr>
        <w:t>conseil d’administration</w:t>
      </w:r>
      <w:r>
        <w:rPr>
          <w:rFonts w:ascii="Times New Roman" w:cs="Times New Roman" w:eastAsia="Times New Roman" w:hAnsi="Times New Roman"/>
          <w:sz w:val="17"/>
          <w:szCs w:val="17"/>
          <w:color w:val="auto"/>
        </w:rPr>
        <w:t>) has been duly elected or appointed in such capacity and exercises his or her functions in accordance with applicable laws and regulations and the Company’s by-laws (</w:t>
      </w:r>
      <w:r>
        <w:rPr>
          <w:rFonts w:ascii="Times New Roman" w:cs="Times New Roman" w:eastAsia="Times New Roman" w:hAnsi="Times New Roman"/>
          <w:sz w:val="17"/>
          <w:szCs w:val="17"/>
          <w:i w:val="1"/>
          <w:iCs w:val="1"/>
          <w:color w:val="auto"/>
        </w:rPr>
        <w:t>statuts</w:t>
      </w:r>
      <w:r>
        <w:rPr>
          <w:rFonts w:ascii="Times New Roman" w:cs="Times New Roman" w:eastAsia="Times New Roman" w:hAnsi="Times New Roman"/>
          <w:sz w:val="17"/>
          <w:szCs w:val="17"/>
          <w:color w:val="auto"/>
        </w:rPr>
        <w:t>) and internal regulations.</w:t>
      </w:r>
    </w:p>
    <w:p>
      <w:pPr>
        <w:spacing w:after="0" w:line="28" w:lineRule="exact"/>
        <w:rPr>
          <w:rFonts w:ascii="Times New Roman" w:cs="Times New Roman" w:eastAsia="Times New Roman" w:hAnsi="Times New Roman"/>
          <w:sz w:val="17"/>
          <w:szCs w:val="17"/>
          <w:color w:val="auto"/>
        </w:rPr>
      </w:pPr>
    </w:p>
    <w:p>
      <w:pPr>
        <w:ind w:firstLine="419"/>
        <w:spacing w:after="0" w:line="254"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the Prospectus and the Information Documents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 capital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300" w:firstLine="419"/>
        <w:spacing w:after="0" w:line="261"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share capital of the Company are as set forth in the Registration Statement, the Time of Sale Prospectus and the Prospectus in the column entitled “Actual” under the caption “Capitalization,” and in the Universal Registration Document under the heading “</w:t>
      </w:r>
      <w:r>
        <w:rPr>
          <w:rFonts w:ascii="Times New Roman" w:cs="Times New Roman" w:eastAsia="Times New Roman" w:hAnsi="Times New Roman"/>
          <w:sz w:val="18"/>
          <w:szCs w:val="18"/>
          <w:i w:val="1"/>
          <w:iCs w:val="1"/>
          <w:color w:val="auto"/>
        </w:rPr>
        <w:t>6.3.1.1 Total du capital social</w:t>
      </w:r>
      <w:r>
        <w:rPr>
          <w:rFonts w:ascii="Times New Roman" w:cs="Times New Roman" w:eastAsia="Times New Roman" w:hAnsi="Times New Roman"/>
          <w:sz w:val="18"/>
          <w:szCs w:val="18"/>
          <w:color w:val="auto"/>
        </w:rPr>
        <w:t>” (except for subsequent issuances, if any, pursuant to (i) this Agreement, (ii) reservations, agreements or employee benefit plans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68" w:right="47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referred to in the Registration Statement, the Time of Sale Prospectus, the Prospectus and the Public Documents, or (iii) the conversion or exercise, as applicable, of convertible bonds, free shares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xml:space="preserve"> or AGA) or warrants (including share warrants (BSA) and founders’ warrants (BSPCE)) referred to in the Registration Statement, the Time of Sale Prospectus, the Prospectus and the Public Documents). The share capital of the Company, including the Securities, conforms in all material respects to each description thereof contained in the Registration Statement, the Time of Sale Prospectus, the Prospectus, the Universal Registration Document, the Unaudited Interim Condensed Consolidated Financial Statements and the Offering Press Releases and such description conforms to the rights set forth in the instruments defining the same. The outstanding share capital of the Company has been duly authorized and validly issued and is fully paid, non-assessable and freely negotiable and has been issued in compliance with French law. None of the outstanding Ordinary Shares or ADSs of the Company were issued in violation of applicable preferential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to subscribe for, or purchase securities of, the Company that have not been excluded, waived or satisfied. There are no authorized or outstanding options, warrants, preferential subscription rights, rights of first refusal or other rights to purchase, or equity or debt securities convertible into or exchangeable or exercisable for, any share capital of the Company other than those described in Registration Statement, the Time of Sale Prospectus, the Prospectus and the Public Documents. The descriptions of the Company’s convertible bonds, free shares (AGA), founders’ warrants (BSCPE), warrants (BSA) and other share plans or arrangements, and the options or other rights granted thereunder, set forth in the Registration Statement, the Time of Sale Prospectus, the Prospectus and the Public Documents accurately and fairly present the information required to be shown with respect to such plans, arrangements, options, warrants and rights. The Company shall take all necessary steps to have the Underlying Shares admitted to the transactions of Euroclear France, Euroclear Bank SA/NV (together with Euroclear France,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 a public limited company (Luxembourg)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and to have the Underlying Shares admitted to trading on the regulated market of Euronext Paris (“</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on the Closing Date, and no collateral, pledge, lien or other security will exist on any Underlying Shares, nor any third-party rights granted by the Company.</w:t>
      </w:r>
    </w:p>
    <w:p>
      <w:pPr>
        <w:spacing w:after="0" w:line="81"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The holders of outstanding Ordinary Shares, as described in the Registration Statement, the Time of Sale Prospectus, the Prospectus and the Public Documents, are not entitled to preferential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to acquire the Securities that have not been waived with respect to the offering of the Securities in accordance with their terms and all applicable laws; there are no outstanding securities convertible into, or exchangeable for, or warrants, rights or options to purchase from the Company, or obligations of the Company to issue, Ordinary Shares or any other class of share capital of the Company, except in each case as set forth in the Registration Statement, the Time of Sale Prospectus, the Prospectus under the captions “Description of Share Capital” or the Public Documents.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ind w:right="60" w:firstLine="419"/>
        <w:spacing w:after="0" w:line="258"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cash flow and working capital statements that will be contained in the Offering Press Releases have been prepared on reasonable grounds in good faith, after due and careful inquiry, and take into account all material matters of which the Company was aware concerning the Company as of the respective dates of such statement. All assumptions on which such working capital statements are based are reasonable and, so far as the Company is aware, there were no material assumptions that the Company should reasonably have taken into account in the preparation of such working capital statements that were not so taken into account.</w:t>
      </w:r>
    </w:p>
    <w:p>
      <w:pPr>
        <w:spacing w:after="0" w:line="75" w:lineRule="exact"/>
        <w:rPr>
          <w:rFonts w:ascii="Times New Roman" w:cs="Times New Roman" w:eastAsia="Times New Roman" w:hAnsi="Times New Roman"/>
          <w:sz w:val="18"/>
          <w:szCs w:val="18"/>
          <w:color w:val="auto"/>
        </w:rPr>
      </w:pPr>
    </w:p>
    <w:p>
      <w:pPr>
        <w:ind w:firstLine="419"/>
        <w:spacing w:after="0" w:line="24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the Company for issuance and sale pursuant to this Agreement and, when issued and delivered by the Company against payment therefor pursuant to this Agreement and upon delivery of the depositary certificate (</w:t>
      </w:r>
      <w:r>
        <w:rPr>
          <w:rFonts w:ascii="Times New Roman" w:cs="Times New Roman" w:eastAsia="Times New Roman" w:hAnsi="Times New Roman"/>
          <w:sz w:val="18"/>
          <w:szCs w:val="18"/>
          <w:i w:val="1"/>
          <w:iCs w:val="1"/>
          <w:color w:val="auto"/>
        </w:rPr>
        <w:t>certificat du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in accordance with Article L. 225-146 and Article L. 225-136 of the French Commercial Code and the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passed at the shareholders’ combined meeting of the Company dated June 6, 2025, will be validly issued, fully paid, non-assessable and freely negotiable; and the issuance and sale of the Securities is not subject to preferential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of any securityholder of the Company that have not been duly excluded, waived or satisfied with respect to the offering of the Securities in accordance with their terms and all applicable laws. No holder of Securities will be subject to personal liability by virtue only of its holding of such Securities. The Ordinary Shares may be freely deposited by the Company with the Depositary or its nominee against issuance of ADRs evidencing the ADSs, as contemplated by the Deposit Agreement. Upon the sale and delivery of the Securities, and payment therefor, the Underwriters or the purchasers thereof, as the case may be, will acquire good, marketable and valid title to such Securities, free and clear of all pledges, liens, security interests, charges, claims or encumbrances.</w:t>
      </w:r>
    </w:p>
    <w:p>
      <w:pPr>
        <w:spacing w:after="0" w:line="95" w:lineRule="exact"/>
        <w:rPr>
          <w:rFonts w:ascii="Times New Roman" w:cs="Times New Roman" w:eastAsia="Times New Roman" w:hAnsi="Times New Roman"/>
          <w:sz w:val="18"/>
          <w:szCs w:val="18"/>
          <w:color w:val="auto"/>
        </w:rPr>
      </w:pPr>
    </w:p>
    <w:p>
      <w:pPr>
        <w:ind w:right="20" w:firstLine="419"/>
        <w:spacing w:after="0" w:line="254"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Agreement has been duly authorized, executed and delivered by the Company and constitutes a valid and legally binding obligation of the Company, enforceable in accordance with its terms, subject, as to enforceability, to bankruptcy, insolvency, reorganization, moratorium and similar laws of general applicability relating to or affecting creditors’ rights and to general equity principles; upon due issuance by the Depositary of the ADRs evidencing the ADSs against the deposit of the Underlying Shares in respect thereof in accordance with the provisions of the Deposit Agreement, such ADSs and ADRs will be duly and validly issued, and the persons in whose names the ADSs and ADRs are registered will be entitled to the rights specified therein, respectively, and in the Deposit Agreement; the issuance and sale of the ADSs by the Company and the deposit of the Underlying Shares with the Depositary and the issuance of the ADRs evidencing the ADSs as contemplated by this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3" w:name="page14"/>
    <w:bookmarkEnd w:id="1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the Deposit Agreement will neither (i) cause any holder of any Ordinary Shares or ADSs, securities convertible into or exchangeable or exercisable for Ordinary Shares or ADSs or warrants or other rights to purchase Ordinary Shares or ADSs or any other securities of the Company to have any right to acquire any shares of the Company nor (ii) trigger any anti-dilution rights of any such holder with respect to such Underlying Shares, ADSs, securities, warrants or rights; and the Deposit Agreement and the ADRs conform in all material respects to the descriptions thereof contained in the Registration Statement, the Time of Sale Prospectus, the Prospectus and the Information Documents. There has been no change in the Company’s agreement with the Depositary in connection with any pre-release of the Company’s ADRs and no such change is currently contemplated.</w:t>
      </w:r>
    </w:p>
    <w:p>
      <w:pPr>
        <w:spacing w:after="0" w:line="81" w:lineRule="exact"/>
        <w:rPr>
          <w:sz w:val="20"/>
          <w:szCs w:val="20"/>
          <w:color w:val="auto"/>
        </w:rPr>
      </w:pPr>
    </w:p>
    <w:p>
      <w:pPr>
        <w:ind w:firstLine="419"/>
        <w:spacing w:after="0" w:line="255" w:lineRule="auto"/>
        <w:tabs>
          <w:tab w:leader="none" w:pos="7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applicable law or the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Securities.</w:t>
      </w:r>
    </w:p>
    <w:p>
      <w:pPr>
        <w:spacing w:after="0" w:line="80"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or the ability of the Company to consummate the transactions contemplated by this Agreement or perform its obligations hereunder from that set forth in the Time of Sale Prospectus and the Public Documents.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Underlying Shares) have been approved for listing on the Nasdaq Global Market, subject to notice of issuance.</w:t>
      </w:r>
    </w:p>
    <w:p>
      <w:pPr>
        <w:spacing w:after="0" w:line="117" w:lineRule="exact"/>
        <w:rPr>
          <w:rFonts w:ascii="Times New Roman" w:cs="Times New Roman" w:eastAsia="Times New Roman" w:hAnsi="Times New Roman"/>
          <w:sz w:val="18"/>
          <w:szCs w:val="18"/>
          <w:color w:val="auto"/>
        </w:rPr>
      </w:pPr>
    </w:p>
    <w:p>
      <w:pPr>
        <w:ind w:right="160" w:firstLine="419"/>
        <w:spacing w:after="0" w:line="254"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(including, without limitation, any action, suit proceeding, inquiry or investigation before, or brought by,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European Commission or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Autorité Nationale de Sécurité du Médicament et des produits de santé</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ANSM</w:t>
      </w:r>
      <w:r>
        <w:rPr>
          <w:rFonts w:ascii="Times New Roman" w:cs="Times New Roman" w:eastAsia="Times New Roman" w:hAnsi="Times New Roman"/>
          <w:sz w:val="18"/>
          <w:szCs w:val="18"/>
          <w:color w:val="auto"/>
        </w:rPr>
        <w:t>”) or the AMF)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the Prospectus and the Information Documents and proceedings that would not,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4" w:name="page15"/>
    <w:bookmarkEnd w:id="14"/>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Sale Prospectus and the Prospectus or (ii) that are required to be described in the Registration Statement, the Time of Sale Prospectus, the Prospectus or the Public Documents and are not so described; and there are no statutes, regulations, contracts or other documents that are required to be described in the Registration Statement, the Time of Sale Prospectus, the Prospectus or the Public Documents or to be filed as exhibits to the Registration Statement that are not described or filed as required.</w:t>
      </w:r>
    </w:p>
    <w:p>
      <w:pPr>
        <w:spacing w:after="0" w:line="72" w:lineRule="exact"/>
        <w:rPr>
          <w:sz w:val="20"/>
          <w:szCs w:val="20"/>
          <w:color w:val="auto"/>
        </w:rPr>
      </w:pPr>
    </w:p>
    <w:p>
      <w:pPr>
        <w:ind w:left="4" w:firstLine="419"/>
        <w:spacing w:after="0" w:line="255"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authorization, approval, consent, license, order, registration, qualification or decree of, any governmental body, agency or court is necessary or required for the performance by the Company of its obligations hereunder, in connection with the offering, issuance or sale of the Securities or the issuance and deposit with the Depositary of the Underlying Shares hereunder or the consummation of the transactions contemplated by this Agreement, except for the publication by Euronext of a notice (</w:t>
      </w:r>
      <w:r>
        <w:rPr>
          <w:rFonts w:ascii="Times New Roman" w:cs="Times New Roman" w:eastAsia="Times New Roman" w:hAnsi="Times New Roman"/>
          <w:sz w:val="18"/>
          <w:szCs w:val="18"/>
          <w:i w:val="1"/>
          <w:iCs w:val="1"/>
          <w:color w:val="auto"/>
        </w:rPr>
        <w:t>avis</w:t>
      </w:r>
      <w:r>
        <w:rPr>
          <w:rFonts w:ascii="Times New Roman" w:cs="Times New Roman" w:eastAsia="Times New Roman" w:hAnsi="Times New Roman"/>
          <w:sz w:val="18"/>
          <w:szCs w:val="18"/>
          <w:color w:val="auto"/>
        </w:rPr>
        <w:t>) with respect to the listing of the Underlying Shares and</w:t>
      </w:r>
    </w:p>
    <w:p>
      <w:pPr>
        <w:spacing w:after="0" w:line="2" w:lineRule="exact"/>
        <w:rPr>
          <w:rFonts w:ascii="Times New Roman" w:cs="Times New Roman" w:eastAsia="Times New Roman" w:hAnsi="Times New Roman"/>
          <w:sz w:val="18"/>
          <w:szCs w:val="18"/>
          <w:color w:val="auto"/>
        </w:rPr>
      </w:pPr>
    </w:p>
    <w:p>
      <w:pPr>
        <w:ind w:left="4" w:right="120" w:hanging="4"/>
        <w:spacing w:after="0" w:line="277" w:lineRule="auto"/>
        <w:tabs>
          <w:tab w:leader="none" w:pos="21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 have been already obtained or as may be required under the Securities Act and the applicable rules and regulations of the Commission thereunder, the rules of the Nasdaq Global Market, state securities laws or the rules of FINRA and (ii) such as have been obtained or will be obtained on the Closing Date under the laws and regulations of jurisdictions outside the United States in which the Securities were offered.</w:t>
      </w:r>
    </w:p>
    <w:p>
      <w:pPr>
        <w:spacing w:after="0" w:line="60" w:lineRule="exact"/>
        <w:rPr>
          <w:rFonts w:ascii="Times New Roman" w:cs="Times New Roman" w:eastAsia="Times New Roman" w:hAnsi="Times New Roman"/>
          <w:sz w:val="17"/>
          <w:szCs w:val="17"/>
          <w:color w:val="auto"/>
        </w:rPr>
      </w:pPr>
    </w:p>
    <w:p>
      <w:pPr>
        <w:ind w:left="4" w:right="80" w:firstLine="419"/>
        <w:spacing w:after="0" w:line="256" w:lineRule="auto"/>
        <w:tabs>
          <w:tab w:leader="none" w:pos="6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relationship, direct or indirect, exists between or among the Company, on the one hand, and the directors, officers, shareholders, customers or suppliers of the Company, on the other hand, that is required to be described in the Registration Statement, the Time of Sale Prospectus, the Prospectus and the Information Documents, which is not so described. There are no business relationships or related-party transactions, including </w:t>
      </w:r>
      <w:r>
        <w:rPr>
          <w:rFonts w:ascii="Times New Roman" w:cs="Times New Roman" w:eastAsia="Times New Roman" w:hAnsi="Times New Roman"/>
          <w:sz w:val="18"/>
          <w:szCs w:val="18"/>
          <w:i w:val="1"/>
          <w:iCs w:val="1"/>
          <w:color w:val="auto"/>
        </w:rPr>
        <w:t>conventions réglementées</w:t>
      </w:r>
      <w:r>
        <w:rPr>
          <w:rFonts w:ascii="Times New Roman" w:cs="Times New Roman" w:eastAsia="Times New Roman" w:hAnsi="Times New Roman"/>
          <w:sz w:val="18"/>
          <w:szCs w:val="18"/>
          <w:color w:val="auto"/>
        </w:rPr>
        <w:t xml:space="preserve"> under Article L. 225-38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French Commercial Code, involving the Company or any other person required to be described in Registration Statement, the Time of Sale Prospectus, the Prospectus, and the Information Documents that have not been described, as required.</w:t>
      </w:r>
    </w:p>
    <w:p>
      <w:pPr>
        <w:spacing w:after="0" w:line="79"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5" w:name="page16"/>
    <w:bookmarkEnd w:id="15"/>
    <w:p>
      <w:pPr>
        <w:ind w:right="40" w:firstLine="419"/>
        <w:spacing w:after="0" w:line="255"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6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7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Time of Sale Prospectus, the Prospectus and the Information Documents,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71"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or affiliates has taken, or will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Exchange Act or applicable European Union or French laws or regulations, as the case may be. Neither the Company, nor any person acting on its behalf will take, directly or indirectly, any action designed to cause or to result in, or that has constituted or that might reasonably be expected to cause or result in, the stabilization of the Securities in violation of applicable European Union or French laws or regulation, as the case may be, or manipulation of the price of any security of the Company to facilitate the sale or resale of the Securities. The Company has not taken or omitted to take any action nor will take any action or omit to take any action, which may result in the loss by any of the Underwriters of the ability to rely on any stabilization safe harbor provided under the Commission</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16" w:name="page17"/>
    <w:bookmarkEnd w:id="16"/>
    <w:p>
      <w:pPr>
        <w:ind w:right="1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Delegated Regulation (EU) 2016/1052 of March 8, 2016, supplementing Regulation (EU) No 596/2014 of the European Parliament and of the Council with regard to regulatory technical standards for the conditions applicable to buy-back programs and stabilization measures. The Company authorizes Leerink Partners LLC to make adequate public disclosure of information and to act as the central point responsible for handling any request from a competent authority, in each case as required by Article 6(5) of Commission Delegated Regulation (EU) 2016/1052 of March 8, 2016, with regard to regulatory technical standards for conditions applicable to buy-back programs and stabilization measures.</w:t>
      </w:r>
    </w:p>
    <w:p>
      <w:pPr>
        <w:spacing w:after="0" w:line="60" w:lineRule="exact"/>
        <w:rPr>
          <w:sz w:val="20"/>
          <w:szCs w:val="20"/>
          <w:color w:val="auto"/>
        </w:rPr>
      </w:pPr>
    </w:p>
    <w:p>
      <w:pPr>
        <w:ind w:right="80" w:firstLine="419"/>
        <w:spacing w:after="0" w:line="25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in all material respects with the applicable provisions of EU Regulation No 596/2014 of April 16, 2014 on market abuse, as amended, the delegated EU regulations adopted thereunder and the equivalent French laws and regulations (the “</w:t>
      </w:r>
      <w:r>
        <w:rPr>
          <w:rFonts w:ascii="Times New Roman" w:cs="Times New Roman" w:eastAsia="Times New Roman" w:hAnsi="Times New Roman"/>
          <w:sz w:val="18"/>
          <w:szCs w:val="18"/>
          <w:b w:val="1"/>
          <w:bCs w:val="1"/>
          <w:color w:val="auto"/>
        </w:rPr>
        <w:t>Market Abuse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and has taken adequate measures and has adequate procedures in place in order to ensure such compliance, and none of the allotment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the sale of the Securities and the consummation of the transactions contemplated by this Agreement will constitute a violation by the Company of any of the Market Abuse Rules, and no person acting on its behalf has done any act or engaged in any course of conduct constituting such violation.</w:t>
      </w:r>
    </w:p>
    <w:p>
      <w:pPr>
        <w:spacing w:after="0" w:line="79" w:lineRule="exact"/>
        <w:rPr>
          <w:rFonts w:ascii="Times New Roman" w:cs="Times New Roman" w:eastAsia="Times New Roman" w:hAnsi="Times New Roman"/>
          <w:sz w:val="18"/>
          <w:szCs w:val="18"/>
          <w:color w:val="auto"/>
        </w:rPr>
      </w:pPr>
    </w:p>
    <w:p>
      <w:pPr>
        <w:ind w:right="80" w:firstLine="419"/>
        <w:spacing w:after="0" w:line="282"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 will be used as described in Registration Statement, the Time of Sale Prospectus and the Prospectus under the caption “Use of Proceeds” and in the Offering Press Releases.</w:t>
      </w:r>
    </w:p>
    <w:p>
      <w:pPr>
        <w:spacing w:after="0" w:line="54" w:lineRule="exact"/>
        <w:rPr>
          <w:sz w:val="20"/>
          <w:szCs w:val="20"/>
          <w:color w:val="auto"/>
        </w:rPr>
      </w:pPr>
    </w:p>
    <w:p>
      <w:pPr>
        <w:jc w:val="both"/>
        <w:ind w:right="160" w:firstLine="419"/>
        <w:spacing w:after="0" w:line="266" w:lineRule="auto"/>
        <w:tabs>
          <w:tab w:leader="none" w:pos="7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Prospectus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spacing w:after="0" w:line="67" w:lineRule="exact"/>
        <w:rPr>
          <w:rFonts w:ascii="Times New Roman" w:cs="Times New Roman" w:eastAsia="Times New Roman" w:hAnsi="Times New Roman"/>
          <w:sz w:val="18"/>
          <w:szCs w:val="18"/>
          <w:color w:val="auto"/>
        </w:rPr>
      </w:pPr>
    </w:p>
    <w:p>
      <w:pPr>
        <w:ind w:right="180" w:firstLine="419"/>
        <w:spacing w:after="0" w:line="282"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that would give rise to a valid claim against the Company or any Underwriter for a brokerage commission, finder’s fee or other like payment in connection with the Offering contemplated hereby.</w:t>
      </w:r>
    </w:p>
    <w:p>
      <w:pPr>
        <w:spacing w:after="0" w:line="65" w:lineRule="exact"/>
        <w:rPr>
          <w:rFonts w:ascii="Times New Roman" w:cs="Times New Roman" w:eastAsia="Times New Roman" w:hAnsi="Times New Roman"/>
          <w:sz w:val="18"/>
          <w:szCs w:val="18"/>
          <w:color w:val="auto"/>
        </w:rPr>
      </w:pPr>
    </w:p>
    <w:p>
      <w:pPr>
        <w:ind w:right="300" w:firstLine="419"/>
        <w:spacing w:after="0" w:line="267"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ceased its payments (</w:t>
      </w:r>
      <w:r>
        <w:rPr>
          <w:rFonts w:ascii="Times New Roman" w:cs="Times New Roman" w:eastAsia="Times New Roman" w:hAnsi="Times New Roman"/>
          <w:sz w:val="18"/>
          <w:szCs w:val="18"/>
          <w:i w:val="1"/>
          <w:iCs w:val="1"/>
          <w:color w:val="auto"/>
        </w:rPr>
        <w:t>cessation des paiements</w:t>
      </w:r>
      <w:r>
        <w:rPr>
          <w:rFonts w:ascii="Times New Roman" w:cs="Times New Roman" w:eastAsia="Times New Roman" w:hAnsi="Times New Roman"/>
          <w:sz w:val="18"/>
          <w:szCs w:val="18"/>
          <w:color w:val="auto"/>
        </w:rPr>
        <w:t>), (ii) is not subject to or has made an application for the appointment of an ad hoc representative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or judicial administrator, (iii) is not subject to and has not made an application to enter into a safeguard procedure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or accelerated safeguard procedure (</w:t>
      </w:r>
      <w:r>
        <w:rPr>
          <w:rFonts w:ascii="Times New Roman" w:cs="Times New Roman" w:eastAsia="Times New Roman" w:hAnsi="Times New Roman"/>
          <w:sz w:val="18"/>
          <w:szCs w:val="18"/>
          <w:i w:val="1"/>
          <w:iCs w:val="1"/>
          <w:color w:val="auto"/>
        </w:rPr>
        <w:t>procédure de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7" w:name="page18"/>
    <w:bookmarkEnd w:id="17"/>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sauvegarde accélérée</w:t>
      </w:r>
      <w:r>
        <w:rPr>
          <w:rFonts w:ascii="Times New Roman" w:cs="Times New Roman" w:eastAsia="Times New Roman" w:hAnsi="Times New Roman"/>
          <w:sz w:val="18"/>
          <w:szCs w:val="18"/>
          <w:color w:val="auto"/>
        </w:rPr>
        <w:t>), (iv) is not subject and has not made an application to enter into a conciliation procedure (</w:t>
      </w:r>
      <w:r>
        <w:rPr>
          <w:rFonts w:ascii="Times New Roman" w:cs="Times New Roman" w:eastAsia="Times New Roman" w:hAnsi="Times New Roman"/>
          <w:sz w:val="18"/>
          <w:szCs w:val="18"/>
          <w:i w:val="1"/>
          <w:iCs w:val="1"/>
          <w:color w:val="auto"/>
        </w:rPr>
        <w:t>procédure de conciliation</w:t>
      </w:r>
      <w:r>
        <w:rPr>
          <w:rFonts w:ascii="Times New Roman" w:cs="Times New Roman" w:eastAsia="Times New Roman" w:hAnsi="Times New Roman"/>
          <w:sz w:val="18"/>
          <w:szCs w:val="18"/>
          <w:color w:val="auto"/>
        </w:rPr>
        <w:t>), (v)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subject to and has not made an application for the transfer of the whole of the business (</w:t>
      </w:r>
      <w:r>
        <w:rPr>
          <w:rFonts w:ascii="Times New Roman" w:cs="Times New Roman" w:eastAsia="Times New Roman" w:hAnsi="Times New Roman"/>
          <w:sz w:val="18"/>
          <w:szCs w:val="18"/>
          <w:i w:val="1"/>
          <w:iCs w:val="1"/>
          <w:color w:val="auto"/>
        </w:rPr>
        <w:t>cession totale de l’entreprise</w:t>
      </w:r>
      <w:r>
        <w:rPr>
          <w:rFonts w:ascii="Times New Roman" w:cs="Times New Roman" w:eastAsia="Times New Roman" w:hAnsi="Times New Roman"/>
          <w:sz w:val="18"/>
          <w:szCs w:val="18"/>
          <w:color w:val="auto"/>
        </w:rPr>
        <w:t>) and (vi) has not filed notice of judicial reorganization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or voluntary liquidation, and no proceedings under any applicable laws before a court having competent jurisdiction over the Company, which has an analogous effect to any of the proceedings referred to have been initiated or requested.</w:t>
      </w:r>
    </w:p>
    <w:p>
      <w:pPr>
        <w:spacing w:after="0" w:line="77" w:lineRule="exact"/>
        <w:rPr>
          <w:sz w:val="20"/>
          <w:szCs w:val="20"/>
          <w:color w:val="auto"/>
        </w:rPr>
      </w:pPr>
    </w:p>
    <w:p>
      <w:pPr>
        <w:ind w:right="60" w:firstLine="419"/>
        <w:spacing w:after="0" w:line="253"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Company or its subsidiaries or affiliates, or to otherwise secure any improper advantage, or to any person in violation of (a) the U.S. Foreign Corrupt Practices Act of 1977, (b) the UK Bribery Act 2010, and (c) any other applicable law, regulation, order, decree or directive having the force of law and relating to bribery or corruption (collectively, the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(ii) the Company and each of its subsidiaries and affiliates have conducted their businesses in compliance with Articles 432-11 et seq., 433-1 and 433-2, 433-22 to 433-25, 435-1 et seq. and 445-1 et seq. of the French Criminal Code or the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the Anti-Corruption Laws.</w:t>
      </w:r>
    </w:p>
    <w:p>
      <w:pPr>
        <w:spacing w:after="0" w:line="81" w:lineRule="exact"/>
        <w:rPr>
          <w:rFonts w:ascii="Times New Roman" w:cs="Times New Roman" w:eastAsia="Times New Roman" w:hAnsi="Times New Roman"/>
          <w:sz w:val="18"/>
          <w:szCs w:val="18"/>
          <w:color w:val="auto"/>
        </w:rPr>
      </w:pPr>
    </w:p>
    <w:p>
      <w:pPr>
        <w:ind w:firstLine="419"/>
        <w:spacing w:after="0" w:line="254" w:lineRule="auto"/>
        <w:tabs>
          <w:tab w:leader="none" w:pos="7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operations of the Company and each of its subsidiaries are and have been conducted at all times in material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including but not limited to, the </w:t>
      </w:r>
      <w:r>
        <w:rPr>
          <w:rFonts w:ascii="Times New Roman" w:cs="Times New Roman" w:eastAsia="Times New Roman" w:hAnsi="Times New Roman"/>
          <w:sz w:val="18"/>
          <w:szCs w:val="18"/>
          <w:i w:val="1"/>
          <w:iCs w:val="1"/>
          <w:color w:val="auto"/>
        </w:rPr>
        <w:t>Cellule française de lutte contre le blanchiment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capitaux et le financement du terrorisme </w:t>
      </w:r>
      <w:r>
        <w:rPr>
          <w:rFonts w:ascii="Times New Roman" w:cs="Times New Roman" w:eastAsia="Times New Roman" w:hAnsi="Times New Roman"/>
          <w:sz w:val="18"/>
          <w:szCs w:val="18"/>
          <w:color w:val="auto"/>
        </w:rPr>
        <w:t>(TRACFIN) and the</w:t>
      </w:r>
      <w:r>
        <w:rPr>
          <w:rFonts w:ascii="Times New Roman" w:cs="Times New Roman" w:eastAsia="Times New Roman" w:hAnsi="Times New Roman"/>
          <w:sz w:val="18"/>
          <w:szCs w:val="18"/>
          <w:i w:val="1"/>
          <w:iCs w:val="1"/>
          <w:color w:val="auto"/>
        </w:rPr>
        <w:t xml:space="preserve"> Office central pour la répression de la grande délinquance </w:t>
      </w:r>
      <w:r>
        <w:rPr>
          <w:rFonts w:ascii="Times New Roman" w:cs="Times New Roman" w:eastAsia="Times New Roman" w:hAnsi="Times New Roman"/>
          <w:sz w:val="18"/>
          <w:szCs w:val="18"/>
          <w:color w:val="auto"/>
        </w:rPr>
        <w:t>financière (OCRGDF)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68" w:right="479" w:bottom="1440" w:gutter="0" w:footer="0" w:header="0"/>
        </w:sectPr>
      </w:pPr>
    </w:p>
    <w:bookmarkStart w:id="18" w:name="page19"/>
    <w:bookmarkEnd w:id="18"/>
    <w:p>
      <w:pPr>
        <w:ind w:right="140" w:firstLine="419"/>
        <w:spacing w:after="0" w:line="266"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80" w:firstLine="391"/>
        <w:spacing w:after="0" w:line="261" w:lineRule="auto"/>
        <w:tabs>
          <w:tab w:leader="none" w:pos="165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United States Government (including the U.S. Department of the Treasury’s Office of Foreign Assets Control and the U.S. Department of State), the United Nations Security Council, the European Union, His Majesty’s Treasury, the French Treasury or any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71" w:lineRule="exact"/>
        <w:rPr>
          <w:rFonts w:ascii="Times New Roman" w:cs="Times New Roman" w:eastAsia="Times New Roman" w:hAnsi="Times New Roman"/>
          <w:sz w:val="18"/>
          <w:szCs w:val="18"/>
          <w:color w:val="auto"/>
        </w:rPr>
      </w:pPr>
    </w:p>
    <w:p>
      <w:pPr>
        <w:jc w:val="both"/>
        <w:ind w:left="980" w:right="40" w:firstLine="391"/>
        <w:spacing w:after="0" w:line="261" w:lineRule="auto"/>
        <w:tabs>
          <w:tab w:leader="none" w:pos="164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North Korea and Syria) (each, a “</w:t>
      </w:r>
      <w:r>
        <w:rPr>
          <w:rFonts w:ascii="Times New Roman" w:cs="Times New Roman" w:eastAsia="Times New Roman" w:hAnsi="Times New Roman"/>
          <w:sz w:val="18"/>
          <w:szCs w:val="18"/>
          <w:b w:val="1"/>
          <w:bCs w:val="1"/>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948"/>
        <w:spacing w:after="0" w:line="266" w:lineRule="auto"/>
        <w:tabs>
          <w:tab w:leader="none" w:pos="12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have not, since the more recent of April 24, 2019 or 10 years prior to the date of the Agreement, engaged in, (b) are not now engaged in, and (c) will not engage in, any dealings or transactions with any Person, or in any country or territory, that at the time of the dealing or transaction is or was, the subject of Sanctions or a Sanctioned Country, respectively.</w:t>
      </w:r>
    </w:p>
    <w:p>
      <w:pPr>
        <w:spacing w:after="0" w:line="67" w:lineRule="exact"/>
        <w:rPr>
          <w:rFonts w:ascii="Times New Roman" w:cs="Times New Roman" w:eastAsia="Times New Roman" w:hAnsi="Times New Roman"/>
          <w:sz w:val="18"/>
          <w:szCs w:val="18"/>
          <w:color w:val="auto"/>
        </w:rPr>
      </w:pPr>
    </w:p>
    <w:p>
      <w:pPr>
        <w:ind w:right="200" w:firstLine="948"/>
        <w:spacing w:after="0" w:line="282" w:lineRule="auto"/>
        <w:tabs>
          <w:tab w:leader="none" w:pos="12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180" w:firstLine="391"/>
        <w:spacing w:after="0" w:line="282" w:lineRule="auto"/>
        <w:tabs>
          <w:tab w:leader="none" w:pos="165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the subject of Sanctions or a Sanctioned Country, respectively;</w:t>
      </w:r>
    </w:p>
    <w:p>
      <w:pPr>
        <w:spacing w:after="0" w:line="53"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money laundering or terrorist financing activities; or</w:t>
      </w:r>
    </w:p>
    <w:p>
      <w:pPr>
        <w:spacing w:after="0" w:line="117" w:lineRule="exact"/>
        <w:rPr>
          <w:rFonts w:ascii="Times New Roman" w:cs="Times New Roman" w:eastAsia="Times New Roman" w:hAnsi="Times New Roman"/>
          <w:sz w:val="18"/>
          <w:szCs w:val="18"/>
          <w:color w:val="auto"/>
        </w:rPr>
      </w:pPr>
    </w:p>
    <w:p>
      <w:pPr>
        <w:ind w:left="980" w:right="40" w:firstLine="391"/>
        <w:spacing w:after="0" w:line="266" w:lineRule="auto"/>
        <w:tabs>
          <w:tab w:leader="none" w:pos="164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would cause or result in a violation of any Anti-Corruption Laws, Anti-Money Laundering Laws, or Sanctions by any Person (including any Person participating in the Offering, whether as underwriter, advisor, investor or otherwise).</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19" w:name="page20"/>
    <w:bookmarkEnd w:id="19"/>
    <w:p>
      <w:pPr>
        <w:ind w:firstLine="948"/>
        <w:spacing w:after="0" w:line="255" w:lineRule="auto"/>
        <w:tabs>
          <w:tab w:leader="none" w:pos="12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conducted and will conduct their businesses in compliance with the Anti-Corruption Laws, the Anti-Money Laundering Laws, and Sanctions, and no investigation, inquiry, action, suit or proceeding by or before any court or governmental agency, authority or body or any arbitrator involving the Company or any of its subsidiaries with respect to the Anti-Corruption Laws, the Anti-Money Laundering Laws or Sanctions is pending or, to the knowledge of the Company, threatened. The Company and its subsidiaries and affiliates have instituted and maintained and will continue to maintain policies and procedures reasonably designed to promote and achieve compliance with the Anti-Corruption Laws, the Anti-Money Laundering Laws, Sanctions, and with the representations and warranties contained herein.</w:t>
      </w:r>
    </w:p>
    <w:p>
      <w:pPr>
        <w:spacing w:after="0" w:line="80" w:lineRule="exact"/>
        <w:rPr>
          <w:rFonts w:ascii="Times New Roman" w:cs="Times New Roman" w:eastAsia="Times New Roman" w:hAnsi="Times New Roman"/>
          <w:sz w:val="18"/>
          <w:szCs w:val="18"/>
          <w:color w:val="auto"/>
        </w:rPr>
      </w:pPr>
    </w:p>
    <w:p>
      <w:pPr>
        <w:ind w:right="20" w:firstLine="419"/>
        <w:spacing w:after="0" w:line="258"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80" w:firstLine="419"/>
        <w:spacing w:after="0" w:line="255"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to all real property and good and marketable title to all personal property owned by them (other than Intellectual Property, which is addressed by subsection (jj) below)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own or have valid and, to the knowledge of the Company, binding and enforceable licenses or other rights under the patents, patent applications, licenses, inventions, copyrights (including software related copyrights), know-how (including trade secrets and other unpatented and/or unpatentable proprietary or confidential information, systems or procedures), trademarks, service marks, trade names or other intellectual property necessary for, or used in the conduct, or the proposed conduct as described in the Registration Statement, the Time of Sale Prospectus, the Prospectus or the Information Documents, of their businesses in the manner described in the Registration Statement, the Time of Sale Prospectus, the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0" w:name="page21"/>
    <w:bookmarkEnd w:id="20"/>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and the Information Documents (collectively, the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(ii) the patents, trademarks and copyrights (including software related copyrights), if any, included within the Intellectual Property are valid, enforceable and subsisting; (iii) except as described in the Registration Statement, the Time of Sale Prospectus, the Prospectus and the Information Documents, neither the Company nor any of its subsidiaries is obligated to pay a material royalty, grant a license to or provide other material consideration to any third party in connection with the Intellectual Property; (iv) neither the Company nor any of its subsidiaries has received any notice of any claim of infringement, misappropriation or conflict with any asserted rights of others with respect to any of the Company’s drug candidates, services, processes or Intellectual Property; (v) to the knowledge of the Company, neither the sale nor use of any of the drug candidates, services or processes of the Company and its subsidiaries referred to in the Registration Statement, the Time of Sale Prospectus, the Prospectus or the Information Documents do or will, to the knowledge of the Company, infringe, misappropriate or violate any right or valid patent claim of any third party; (vi) none of the technology employed by the Company or its subsidiaries has been obtained or is being used by the Company or its subsidiaries in material violation of any contractual obligation binding on the Company or its subsidiaries or, to the Company’s knowledge, upon any of its or their officers, directors or employees or otherwise in violation of the rights of any persons; (vii) to the knowledge of the Company, no third party has any ownership right in or to any Intellectual Property that is owned by the Company or its subsidiaries, other than any co-owner of any patent constituting Intellectual Property who is listed on the records of the U.S. Patent and Trademark Office (the “</w:t>
      </w:r>
      <w:r>
        <w:rPr>
          <w:rFonts w:ascii="Times New Roman" w:cs="Times New Roman" w:eastAsia="Times New Roman" w:hAnsi="Times New Roman"/>
          <w:sz w:val="17"/>
          <w:szCs w:val="17"/>
          <w:b w:val="1"/>
          <w:bCs w:val="1"/>
          <w:color w:val="auto"/>
        </w:rPr>
        <w:t>USPTO</w:t>
      </w:r>
      <w:r>
        <w:rPr>
          <w:rFonts w:ascii="Times New Roman" w:cs="Times New Roman" w:eastAsia="Times New Roman" w:hAnsi="Times New Roman"/>
          <w:sz w:val="17"/>
          <w:szCs w:val="17"/>
          <w:color w:val="auto"/>
        </w:rPr>
        <w:t>”) or any foreign or international patent authority, and any co-owner of any patent application constituting Intellectual Property who is named in such patent application, and, to the knowledge of the Company, no third party has any ownership right in or to any Intellectual Property in any field of use that is exclusively licensed to the Company or its subsidiaries, other than any licensor to the Company or its subsidiaries of such Intellectual Property;</w:t>
      </w:r>
    </w:p>
    <w:p>
      <w:pPr>
        <w:spacing w:after="0" w:line="202" w:lineRule="exact"/>
        <w:rPr>
          <w:sz w:val="20"/>
          <w:szCs w:val="20"/>
          <w:color w:val="auto"/>
        </w:rPr>
      </w:pPr>
    </w:p>
    <w:p>
      <w:pPr>
        <w:ind w:left="4" w:hanging="4"/>
        <w:spacing w:after="0" w:line="252" w:lineRule="auto"/>
        <w:tabs>
          <w:tab w:leader="none" w:pos="4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material infringement by third parties of any Intellectual Property; (ix) there is no pending or, to the Company’s knowledge, threatened action, suit, proceeding or claim by others challenging the Company’s or any of its subsidiaries’ rights in, or to, any Intellectual Property; and (x) there is no pending or, to the Company’s knowledge, threatened action, suit, proceeding or claim by others challenging the validity or scope of any Intellectual Property. The Company and each of its subsidiaries is in compliance with the terms of each agreement pursuant to which Intellectual Property has been licensed to the Company or its subsidiaries, as applicable, and all such agreements are in full force and effect.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4"/>
          </w:cols>
          <w:pgMar w:left="876" w:top="266" w:right="459" w:bottom="1440" w:gutter="0" w:footer="0" w:header="0"/>
        </w:sectPr>
      </w:pPr>
    </w:p>
    <w:bookmarkStart w:id="21" w:name="page22"/>
    <w:bookmarkEnd w:id="21"/>
    <w:p>
      <w:pPr>
        <w:ind w:left="4" w:right="20" w:firstLine="419"/>
        <w:spacing w:after="0" w:line="252" w:lineRule="auto"/>
        <w:tabs>
          <w:tab w:leader="none" w:pos="7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have a material adverse effect on the Company and its subsidiaries, taken as a whole, all patents and patent applications owned by or licensed to the Company or under which the Company has rights have, to the knowledge of the Company, been duly and properly filed and maintained; to the knowledge of the Company, the parties prosecuting such patent applications have complied with their duty of candor and disclosure to the USPTO, the European Patent Office (the “</w:t>
      </w:r>
      <w:r>
        <w:rPr>
          <w:rFonts w:ascii="Times New Roman" w:cs="Times New Roman" w:eastAsia="Times New Roman" w:hAnsi="Times New Roman"/>
          <w:sz w:val="18"/>
          <w:szCs w:val="18"/>
          <w:b w:val="1"/>
          <w:bCs w:val="1"/>
          <w:color w:val="auto"/>
        </w:rPr>
        <w:t>EPO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Institut National de la Propriété Industrielle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INPI</w:t>
      </w:r>
      <w:r>
        <w:rPr>
          <w:rFonts w:ascii="Times New Roman" w:cs="Times New Roman" w:eastAsia="Times New Roman" w:hAnsi="Times New Roman"/>
          <w:sz w:val="18"/>
          <w:szCs w:val="18"/>
          <w:color w:val="auto"/>
        </w:rPr>
        <w:t>”) and/or any foreign or international patent authority, as applicable, in connection with such applications; and the Company is not aware of any facts required to be disclosed to the USPTO, the EPO, the INPI and/or any foreign or international patent authority, as applicable, that were not disclosed to the USPTO, the EPO, the INPI and/or any foreign or international patent authority, as applicable, that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w:t>
      </w:r>
      <w:r>
        <w:rPr>
          <w:rFonts w:ascii="Times New Roman" w:cs="Times New Roman" w:eastAsia="Times New Roman" w:hAnsi="Times New Roman"/>
          <w:sz w:val="18"/>
          <w:szCs w:val="18"/>
          <w:b w:val="1"/>
          <w:bCs w:val="1"/>
          <w:color w:val="auto"/>
        </w:rPr>
        <w:t>Company Patent Rights</w:t>
      </w:r>
      <w:r>
        <w:rPr>
          <w:rFonts w:ascii="Times New Roman" w:cs="Times New Roman" w:eastAsia="Times New Roman" w:hAnsi="Times New Roman"/>
          <w:sz w:val="18"/>
          <w:szCs w:val="18"/>
          <w:color w:val="auto"/>
        </w:rPr>
        <w:t>”), all patents and patent applications in-licensed by the Company and filed with the USPTO, the EPO and/or the INPI, as applicable, and any foreign or international patent authority (the “</w:t>
      </w:r>
      <w:r>
        <w:rPr>
          <w:rFonts w:ascii="Times New Roman" w:cs="Times New Roman" w:eastAsia="Times New Roman" w:hAnsi="Times New Roman"/>
          <w:sz w:val="18"/>
          <w:szCs w:val="18"/>
          <w:b w:val="1"/>
          <w:bCs w:val="1"/>
          <w:color w:val="auto"/>
        </w:rPr>
        <w:t>In-licensed Patent Rights</w:t>
      </w:r>
      <w:r>
        <w:rPr>
          <w:rFonts w:ascii="Times New Roman" w:cs="Times New Roman" w:eastAsia="Times New Roman" w:hAnsi="Times New Roman"/>
          <w:sz w:val="18"/>
          <w:szCs w:val="18"/>
          <w:color w:val="auto"/>
        </w:rPr>
        <w:t>”) have been duly and properly filed; the Company believes it has complied with its duty of candor and disclosure to the USPTO, the EPO, the INPI and/or any foreign or international patent authority, as applicable, for the Company Patent Rights and, to the Company’s knowledge, the licensors of the In-licensed Patent Rights have complied with their duty of candor and disclosure to the USPTO, the EPO, the INPI and/or any foreign or international patent authority, as applicable, for the In-licensed Patent Rights.</w:t>
      </w:r>
    </w:p>
    <w:p>
      <w:pPr>
        <w:spacing w:after="0" w:line="87" w:lineRule="exact"/>
        <w:rPr>
          <w:rFonts w:ascii="Times New Roman" w:cs="Times New Roman" w:eastAsia="Times New Roman" w:hAnsi="Times New Roman"/>
          <w:sz w:val="18"/>
          <w:szCs w:val="18"/>
          <w:color w:val="auto"/>
        </w:rPr>
      </w:pPr>
    </w:p>
    <w:p>
      <w:pPr>
        <w:ind w:left="4" w:firstLine="419"/>
        <w:spacing w:after="0" w:line="268" w:lineRule="auto"/>
        <w:tabs>
          <w:tab w:leader="none" w:pos="69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redistributed at no charge.</w:t>
      </w:r>
    </w:p>
    <w:p>
      <w:pPr>
        <w:spacing w:after="0" w:line="98"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8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have operated their businesses in a manner compliant (except where such failure to operate or non-compliance would not, singly or in the aggregate, have a material adverse effect on the Company and its subsidiaries, taken as a whole) with all applicable United States federal, state, local and non-United States privacy (including, but not limited to, the General Data Protection Regulation (EU) 2016/679 and the French Act n°78-17 of 6 January 1978 on Information Technology, Data Files and Civil Liberties), data security and data protection laws and regulations applicable to their collection, use, transfer, protection, disposal, disclosure, handling, hosting,</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2" w:name="page23"/>
    <w:bookmarkEnd w:id="22"/>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storage and analysis of personal data; (ii) the Company and each of its subsidiaries have implemented internal policies and procedures designed to ensure the integrity, confidentiality and security of the data processed in connection with their businesses and complies in all material respects with such approved internal policies and procedures; (iii) the Company and each of its subsidiaries have been, and are presently in compliance in all material respects with internal policies and procedures designed to ensure compliance with the Health Care Laws that govern privacy and data security and take, and have taken appropriate steps designed to assure compliance with such policies and procedures; (iv) the Company and each of its subsidiaries have taken adequate steps designed to maintain the confidentiality of its personally identifiable information, health information, consumer and consumer related information and other confidential information of the Company, its subsidiaries and any third parties in its possession (“</w:t>
      </w:r>
      <w:r>
        <w:rPr>
          <w:rFonts w:ascii="Times New Roman" w:cs="Times New Roman" w:eastAsia="Times New Roman" w:hAnsi="Times New Roman"/>
          <w:sz w:val="18"/>
          <w:szCs w:val="18"/>
          <w:b w:val="1"/>
          <w:bCs w:val="1"/>
          <w:color w:val="auto"/>
        </w:rPr>
        <w:t>Sensitive Company Data</w:t>
      </w:r>
      <w:r>
        <w:rPr>
          <w:rFonts w:ascii="Times New Roman" w:cs="Times New Roman" w:eastAsia="Times New Roman" w:hAnsi="Times New Roman"/>
          <w:sz w:val="18"/>
          <w:szCs w:val="18"/>
          <w:color w:val="auto"/>
        </w:rPr>
        <w:t>”); (v) the tangible or digital information technology systems (including computers, screens, servers, workstations, routers, hubs, switches, networks, data communications lines, technical data and hardware), software and telecommunications systems used or held for use by the Company and its subsidiaries (the “</w:t>
      </w:r>
      <w:r>
        <w:rPr>
          <w:rFonts w:ascii="Times New Roman" w:cs="Times New Roman" w:eastAsia="Times New Roman" w:hAnsi="Times New Roman"/>
          <w:sz w:val="18"/>
          <w:szCs w:val="18"/>
          <w:b w:val="1"/>
          <w:bCs w:val="1"/>
          <w:color w:val="auto"/>
        </w:rPr>
        <w:t>Company IT Assets</w:t>
      </w:r>
      <w:r>
        <w:rPr>
          <w:rFonts w:ascii="Times New Roman" w:cs="Times New Roman" w:eastAsia="Times New Roman" w:hAnsi="Times New Roman"/>
          <w:sz w:val="18"/>
          <w:szCs w:val="18"/>
          <w:color w:val="auto"/>
        </w:rPr>
        <w:t>”) are adequate and operational for, in accordance with their documentation and functional specifications, the business of the Company and its subsidiaries as now operated and as currently proposed to be conducted as described in the Registration Statement, the Time of Sale Prospectus, the Prospectus and the Information Documents</w:t>
      </w:r>
    </w:p>
    <w:p>
      <w:pPr>
        <w:spacing w:after="0" w:line="2" w:lineRule="exact"/>
        <w:rPr>
          <w:sz w:val="20"/>
          <w:szCs w:val="20"/>
          <w:color w:val="auto"/>
        </w:rPr>
      </w:pPr>
    </w:p>
    <w:p>
      <w:pPr>
        <w:ind w:left="4" w:hanging="4"/>
        <w:spacing w:after="0" w:line="251" w:lineRule="auto"/>
        <w:tabs>
          <w:tab w:leader="none" w:pos="3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established disaster recovery and security plans, procedures and facilities for the business consistent with industry standards and practices in France, including, without limitation, for the Company IT Assets and data held or used by or for the Company and its subsidiaries; (vii) the Company and its subsidiaries have not suffered or incurred any security breaches, personal data breaches, compromises or incidents with respect to any Company IT Asset or Sensitive Company Data, except where such breaches, compromises or incidents would not, singly or in the aggregate, have a material adverse effect on the Company and its subsidiaries, taken as a whole; (viii) there has been no unauthorized or illegal use of or access to any Company IT Asset or Sensitive Company Data by any unauthorized third party that has resulted, or would result, in a material adverse effect on the Company and its subsidiaries, taken as a whole; (ix) the Company and its subsidiaries have not been required to notify any individual or authority of any material information security breach, personal data breach, compromise or incident involving Sensitive Company Data; and (x) the Company and its subsidiaries have never been subject to a control procedure of data protection authority or to a complaint lodged before a data protection authority.</w:t>
      </w:r>
    </w:p>
    <w:p>
      <w:pPr>
        <w:spacing w:after="0" w:line="84" w:lineRule="exact"/>
        <w:rPr>
          <w:rFonts w:ascii="Times New Roman" w:cs="Times New Roman" w:eastAsia="Times New Roman" w:hAnsi="Times New Roman"/>
          <w:sz w:val="18"/>
          <w:szCs w:val="18"/>
          <w:color w:val="auto"/>
        </w:rPr>
      </w:pPr>
    </w:p>
    <w:p>
      <w:pPr>
        <w:ind w:left="4" w:right="540" w:firstLine="419"/>
        <w:spacing w:after="0" w:line="261" w:lineRule="auto"/>
        <w:tabs>
          <w:tab w:leader="none" w:pos="7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and at all times has been in material compliance with all statutes, rules or regulations of the FDA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23" w:name="page24"/>
    <w:bookmarkEnd w:id="2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(ii) has not received any FDA Form 483, notice of adverse finding, warning letter, untitled letter or other correspondence or notice from the FDA or any governmental authority alleging or asserting material noncompliance with any Applicable Laws or any licenses, certificates, approvals, clearances, exemptions,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(iii) possesses all material Authorizations and such Authorizations are valid and in full force and effect and the Company is not in material violation of any term of any such Authorizations; (iv) has not received notice of any claim, action, suit, proceeding, hearing, enforcement, investigation, arbitration or other action from the FDA or any governmental authority or third party alleging that any product operation or activity is in material violation of any Applicable Laws or Authorizations and has no knowledge that the FDA or any governmental authority or third party is considering any such claim, litigation, arbitration, action, suit, investigation or proceeding; (v) has not received notice that the FDA or any governmental authority has taken, is taking or intends to take action to limit, suspend, modify or revoke any material Authorizations and has no knowledge that the FDA or any governmental authority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81" w:lineRule="exact"/>
        <w:rPr>
          <w:sz w:val="20"/>
          <w:szCs w:val="20"/>
          <w:color w:val="auto"/>
        </w:rPr>
      </w:pPr>
    </w:p>
    <w:p>
      <w:pPr>
        <w:ind w:left="4" w:firstLine="419"/>
        <w:spacing w:after="0" w:line="272" w:lineRule="auto"/>
        <w:tabs>
          <w:tab w:leader="none" w:pos="7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operated and currently is in compliance with all applicable health care laws, rules and regulations (except where such failure to operate or non-compliance would not, singly or in the aggregate, have a material adverse effect on the Company and its subsidiaries, taken as a whole), including, without limitation and in each case to the extent applicable, (i) the Federal, Food, Drug and Cosmetic Act (21 U.S.C.</w:t>
      </w:r>
    </w:p>
    <w:p>
      <w:pPr>
        <w:spacing w:after="0" w:line="1" w:lineRule="exact"/>
        <w:rPr>
          <w:rFonts w:ascii="Times New Roman" w:cs="Times New Roman" w:eastAsia="Times New Roman" w:hAnsi="Times New Roman"/>
          <w:sz w:val="17"/>
          <w:szCs w:val="17"/>
          <w:color w:val="auto"/>
        </w:rPr>
      </w:pPr>
    </w:p>
    <w:p>
      <w:pPr>
        <w:ind w:left="4" w:right="60" w:hanging="4"/>
        <w:spacing w:after="0" w:line="251" w:lineRule="auto"/>
        <w:tabs>
          <w:tab w:leader="none" w:pos="2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et seq.); (ii) all federal, state, local and foreign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 286 and 287, the healthcare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 1320d et seq.), the exclusions law (42 U.S.C. § 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including French laws (collectively, the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Neither the Company, nor to the Company’s knowledge, any of its officers, directors, employees or agents have engaged in activities, which are, as applicable, cause for false claims liability, civil penalties, or mandatory or permissive exclusion</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66" w:right="45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material violation of any Health Care Laws, and, to the Company’s knowledge, no such claim, action, suit, proceeding, hearing, enforcement, investigation, arbitration or other action is threatened. The Company is not a party and does not have any material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to the Company’s knowledge, any of its employees, officers or directors,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82" w:lineRule="exact"/>
        <w:rPr>
          <w:sz w:val="20"/>
          <w:szCs w:val="20"/>
          <w:color w:val="auto"/>
        </w:rPr>
      </w:pPr>
    </w:p>
    <w:p>
      <w:pPr>
        <w:ind w:firstLine="419"/>
        <w:spacing w:after="0" w:line="253"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tests and preclinical and clinical trials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conducted by or, to the Company’s knowledge, on behalf of, the Company were and, if still ongoing, are being conducted in all material respects in accordance with experimental protocols, procedures and controls pursuant to accepted professional scientific standards and all Authorizations and Applicable Laws, including, without limitation, the Federal Food, Drug and Cosmetic Act and the rules and regulations promulgated thereunder and the rules and regulations of the EMA; the descriptions of the results of such studies contained in the Registration Statement, the Time of Sale Prospectus, the Prospectus and the Public Documents are accurate and complete in all material respects and fairly present the data derived from such studies; the Company is not aware of any studies, tests or trials, the results of which the Company believes reasonably call into question the study, test or trial results described or referred to in the Registration Statement, the Time of Sale Prospectus, the Prospectus and the Public Documents when viewed in the context in which such results are described and the clinical state of development; the Company has made all such filings and obtained all such approvals as may be required by the FDA or from any other U.S. or foreign government or drug or medical device regulatory agency (including, the EMA, the ANSM, or health care facility Institutional Review Board or any other governmental or regulatory authority to which they are subject) and, the Company has not received any notices or correspondence from the FDA or any governmental body, agency or court requiring the termination or suspension of any studies, tests or preclinical or clinical trials conducted by or on behalf of the Company, other than ordinary course communications with respect to modifications in connection with the design and implementation of such trials, copies of which communications have been made available to the Underwriters.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5" w:name="page26"/>
    <w:bookmarkEnd w:id="25"/>
    <w:p>
      <w:pPr>
        <w:ind w:right="80" w:firstLine="419"/>
        <w:spacing w:after="0" w:line="261"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7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carry or are entitled to the benefits of insurance, with financially sound and reputable insurers, in such amounts and covering such risks as is generally maintained by companies of established repute engaged in the same or similar business in France, and all such insurance is in full force and effect, except as would not, singly or in the aggregate, have a material adverse effect on the Company and its subsidiaries, taken as a whole. The Company has no reason to believe that it or any of its subsidiaries will not be able to renew its existing insurance coverage as and when such policies expire or to obtain comparable coverage from similar institutions, as may be necessary or appropriate to conduct its business as now conducted and at a cost that would not, singly or in the aggregate, have a material adverse effect on the Company and its subsidiaries, taken as a whole. Neither the Company nor any of its subsidiaries has been denied any insurance coverage which it has sought or for which it has applied.</w:t>
      </w:r>
    </w:p>
    <w:p>
      <w:pPr>
        <w:spacing w:after="0" w:line="8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possess all permits, licenses, approvals, consents and other authorizations (collectively,</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operated by them (including, without limitation, all such permits, licenses, approvals, consents and other authorizations required by the FDA, the EMA, or any other federal, state, local or foreign agencies or bodies engaged in the regulation of clinical or preclinical studies, pharmaceuticals, biologics, biohazardous substances or activities related to the business now operated by the Company and its subsidiaries), except where the failure so to possess would not, singly or in the aggregate, have a material adverse effect on the Company and its subsidiaries, taken as a whole. The Company and each of its subsidiaries are in compliance with the terms and conditions of all Governmental Licenses, except where the failure so to comply would not, singly or in the aggregate, have a material adverse effect on the Company and its subsidiaries, taken as a whole. The Company has fulfilled and performed all of its material obligations with respect to the Governmental Licenses and, to the knowledge of the Company, no event has occurred which allows, or after notice or lapse of time would allow, revocation or termination thereof or results in any other material impairment of the rights of the Company as a holder of any permit, except where the failure to so fulfill or perform, or the occurrence of such event, would not, singly or in the aggregate, have a material adverse effect on the Company and its subsidiaries, taken as a whole. All of the Governmental Licenses are valid and in full force and effect, except where the invalidity of such Governmental Licenses or the failure of such Governmental Licenses to be in full force and effect would not, singly or in the aggregate, have a material adverse effect on the Company and its subsidiaries, taken as a whole. Neither the Company nor any of its subsidiaries has received any notice of proceedings relating to the revocation or modification of any Governmental Licenses which, singly or in the aggregate, if the subject of an unfavorable decision, ruling or finding, would have a material adverse effect on the Company and its subsidiaries, taken as a whole.</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26" w:name="page27"/>
    <w:bookmarkEnd w:id="26"/>
    <w:p>
      <w:pPr>
        <w:ind w:firstLine="419"/>
        <w:spacing w:after="0" w:line="267" w:lineRule="auto"/>
        <w:tabs>
          <w:tab w:leader="none" w:pos="68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financial statements included or incorporated by reference in each of the Registration Statement, the Time of Sale Prospectus and the Prospectus, together with the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 w:cs="Times New Roman" w:eastAsia="Times New Roman" w:hAnsi="Times New Roman"/>
          <w:sz w:val="17"/>
          <w:szCs w:val="17"/>
          <w:b w:val="1"/>
          <w:bCs w:val="1"/>
          <w:color w:val="auto"/>
        </w:rPr>
        <w:t>IFRS</w:t>
      </w:r>
      <w:r>
        <w:rPr>
          <w:rFonts w:ascii="Times New Roman" w:cs="Times New Roman" w:eastAsia="Times New Roman" w:hAnsi="Times New Roman"/>
          <w:sz w:val="17"/>
          <w:szCs w:val="17"/>
          <w:color w:val="auto"/>
        </w:rPr>
        <w:t>”), as issued by the International Accounting Standard Board (“</w:t>
      </w:r>
      <w:r>
        <w:rPr>
          <w:rFonts w:ascii="Times New Roman" w:cs="Times New Roman" w:eastAsia="Times New Roman" w:hAnsi="Times New Roman"/>
          <w:sz w:val="17"/>
          <w:szCs w:val="17"/>
          <w:b w:val="1"/>
          <w:bCs w:val="1"/>
          <w:color w:val="auto"/>
        </w:rPr>
        <w:t>IASB</w:t>
      </w:r>
      <w:r>
        <w:rPr>
          <w:rFonts w:ascii="Times New Roman" w:cs="Times New Roman" w:eastAsia="Times New Roman" w:hAnsi="Times New Roman"/>
          <w:sz w:val="17"/>
          <w:szCs w:val="17"/>
          <w:color w:val="auto"/>
        </w:rPr>
        <w:t>”) applied on a consistent basis throughout the periods covered thereby except for any normal year-end adjustments in the Company’s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audited consolidated financial statements of the Company for the years ended December 31, 2024, 2023 and 2022 present fairly, in all material respects, the financial position of the Company as of the dates indicated and the results of its operations, changes in shareholders’ equity and cash flows for the periods specified and are in accordance with the IFRS within the meaning of EC Regulation</w:t>
      </w:r>
    </w:p>
    <w:p>
      <w:pPr>
        <w:spacing w:after="0" w:line="2"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 1606/2002 of the European Parliament and of the council of July 19, 2002, as adopted from time to time by the European Commission in accordance with that Regulation, and its interpretations promulgated by the IASB, applied on a consistent basis throughout the periods involved (except as noted therein). The audited statutory financial statements of the Company included directly or incorporated by reference in the Universal Registration Document present fairly, in all material respects, the financial position of the Company as of the dates indicated and the results of its operations, changes in shareholders’ equity and cash flows for the periods specified and are in accordance with the requirements of the French generally accepted accounting principles, applied on a consistent basis throughout the periods involved (except as noted therein). The Unaudited Interim Condensed Consolidated Financial Statements have been prepared in accordance with IAS 34, Interim Financial Reporting, the standard of IFRS applicable to interim financial statements. The statistical, industry-related and market-related data included or incorporated by reference in each of the Registration Statement, the Time of Sale Prospectus, the Prospectus and the Public Documents are based on or derived from sources that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7" w:name="page28"/>
    <w:bookmarkEnd w:id="27"/>
    <w:p>
      <w:pPr>
        <w:ind w:left="4" w:firstLine="419"/>
        <w:spacing w:after="0" w:line="254" w:lineRule="auto"/>
        <w:tabs>
          <w:tab w:leader="none" w:pos="7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PricewaterhouseCoopers Audit, who has certified certain financial statements of the Company and its subsidiaries and delivered its report with respect to the audited consolidated financial statements filed with the Commission as part of the Registration Statement and included or incorporated by reference in each of the Registration Statement, the Time of Sale Prospectus and the Prospectus, is (i) an independent registered public accounting firm with respect to the Company within the meaning of the Securities Act and the applicable rules and regulations thereunder adopted by the Commission and the Public Company Accounting Oversight Board (United States) and (ii) an independent statutory auditor with respect to the Company as required by the laws of the French Republic and under the professional rules of the “</w:t>
      </w:r>
      <w:r>
        <w:rPr>
          <w:rFonts w:ascii="Times New Roman" w:cs="Times New Roman" w:eastAsia="Times New Roman" w:hAnsi="Times New Roman"/>
          <w:sz w:val="18"/>
          <w:szCs w:val="18"/>
          <w:i w:val="1"/>
          <w:iCs w:val="1"/>
          <w:color w:val="auto"/>
        </w:rPr>
        <w:t>Compagnie Nationale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Commissaires aux Comptes</w:t>
      </w:r>
      <w:r>
        <w:rPr>
          <w:rFonts w:ascii="Times New Roman" w:cs="Times New Roman" w:eastAsia="Times New Roman" w:hAnsi="Times New Roman"/>
          <w:sz w:val="18"/>
          <w:szCs w:val="18"/>
          <w:color w:val="auto"/>
        </w:rPr>
        <w:t>.” PricewaterhouseCoopers Audit and Agili 3(F) have delivered letter of completion of work (</w:t>
      </w:r>
      <w:r>
        <w:rPr>
          <w:rFonts w:ascii="Times New Roman" w:cs="Times New Roman" w:eastAsia="Times New Roman" w:hAnsi="Times New Roman"/>
          <w:sz w:val="18"/>
          <w:szCs w:val="18"/>
          <w:i w:val="1"/>
          <w:iCs w:val="1"/>
          <w:color w:val="auto"/>
        </w:rPr>
        <w:t>lettre de fin de travaux</w:t>
      </w:r>
      <w:r>
        <w:rPr>
          <w:rFonts w:ascii="Times New Roman" w:cs="Times New Roman" w:eastAsia="Times New Roman" w:hAnsi="Times New Roman"/>
          <w:sz w:val="18"/>
          <w:szCs w:val="18"/>
          <w:color w:val="auto"/>
        </w:rPr>
        <w:t>) with respect to the Universal Registration Document that showed no reservation, observation or warning and which letter of 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work (</w:t>
      </w:r>
      <w:r>
        <w:rPr>
          <w:rFonts w:ascii="Times New Roman" w:cs="Times New Roman" w:eastAsia="Times New Roman" w:hAnsi="Times New Roman"/>
          <w:sz w:val="18"/>
          <w:szCs w:val="18"/>
          <w:i w:val="1"/>
          <w:iCs w:val="1"/>
          <w:color w:val="auto"/>
        </w:rPr>
        <w:t>lettre de fin de travaux</w:t>
      </w:r>
      <w:r>
        <w:rPr>
          <w:rFonts w:ascii="Times New Roman" w:cs="Times New Roman" w:eastAsia="Times New Roman" w:hAnsi="Times New Roman"/>
          <w:sz w:val="18"/>
          <w:szCs w:val="18"/>
          <w:color w:val="auto"/>
        </w:rPr>
        <w:t>) has not and will not be altered or replaced.</w:t>
      </w:r>
    </w:p>
    <w:p>
      <w:pPr>
        <w:spacing w:after="0" w:line="80"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in all material respects with any provision of the Sarbanes-Oxley Act of 2002 and the rules and regulations promulgated thereunder (collectively,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67" w:lineRule="exact"/>
        <w:rPr>
          <w:rFonts w:ascii="Times New Roman" w:cs="Times New Roman" w:eastAsia="Times New Roman" w:hAnsi="Times New Roman"/>
          <w:sz w:val="18"/>
          <w:szCs w:val="18"/>
          <w:color w:val="auto"/>
        </w:rPr>
      </w:pPr>
    </w:p>
    <w:p>
      <w:pPr>
        <w:ind w:left="4" w:right="500" w:firstLine="419"/>
        <w:spacing w:after="0" w:line="261" w:lineRule="auto"/>
        <w:tabs>
          <w:tab w:leader="none" w:pos="8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on a consolidated basis maintain a system of internal accounting controls sufficient to provide reasonable assurance that (i) transactions are executed in accordance with management’s general or specific authorizations;</w:t>
      </w:r>
    </w:p>
    <w:p>
      <w:pPr>
        <w:ind w:left="4" w:hanging="4"/>
        <w:spacing w:after="0" w:line="267" w:lineRule="auto"/>
        <w:tabs>
          <w:tab w:leader="none" w:pos="26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recorded as necessary to permit preparation of financial statements in conformity with IFRS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(it being understood that this subsection shall not require the Company to comply with Section 404 of the Sarbanes-Oxley Act as of an earlier date than it would otherwise be required to do so under applicable law); and (v) 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Except as described in the Registration Statement, the Time of Sale Prospectus, the Prospectus and the Public Documents, since the end of the Company’s most recent audited fiscal year, except as disclosed in the Time of Sale Prospectus and Prospectus,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28" w:name="page29"/>
    <w:bookmarkEnd w:id="28"/>
    <w:p>
      <w:pPr>
        <w:ind w:right="80" w:firstLine="419"/>
        <w:spacing w:after="0" w:line="281" w:lineRule="auto"/>
        <w:tabs>
          <w:tab w:leader="none" w:pos="76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the Registration Statement, the Time of Sale Prospectus, the Prospectus and the Public Documents, the Company has not sold, issued or distributed any of its share capital during the six-month period preceding the date hereof, including any sales pursuant to Rule 144A under, or Regulation D or S of, the Securities Act, other than shares issued pursuant to employee benefit plans, qualified share option plans, free share (</w:t>
      </w:r>
      <w:r>
        <w:rPr>
          <w:rFonts w:ascii="Times New Roman" w:cs="Times New Roman" w:eastAsia="Times New Roman" w:hAnsi="Times New Roman"/>
          <w:sz w:val="17"/>
          <w:szCs w:val="17"/>
          <w:i w:val="1"/>
          <w:iCs w:val="1"/>
          <w:color w:val="auto"/>
        </w:rPr>
        <w:t>actions gratuites</w:t>
      </w:r>
      <w:r>
        <w:rPr>
          <w:rFonts w:ascii="Times New Roman" w:cs="Times New Roman" w:eastAsia="Times New Roman" w:hAnsi="Times New Roman"/>
          <w:sz w:val="17"/>
          <w:szCs w:val="17"/>
          <w:color w:val="auto"/>
        </w:rPr>
        <w:t>) plans or other employee compensation plans or pursuant to outstanding options, rights or warrants.</w:t>
      </w:r>
    </w:p>
    <w:p>
      <w:pPr>
        <w:spacing w:after="0" w:line="56" w:lineRule="exact"/>
        <w:rPr>
          <w:rFonts w:ascii="Times New Roman" w:cs="Times New Roman" w:eastAsia="Times New Roman" w:hAnsi="Times New Roman"/>
          <w:sz w:val="17"/>
          <w:szCs w:val="17"/>
          <w:color w:val="auto"/>
        </w:rPr>
      </w:pPr>
    </w:p>
    <w:p>
      <w:pPr>
        <w:ind w:firstLine="419"/>
        <w:spacing w:after="0" w:line="253" w:lineRule="auto"/>
        <w:tabs>
          <w:tab w:leader="none" w:pos="7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non-United States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by appropriate proceedings and for which adequate reserves required by IFRS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 None of the Company or its subsidiaries is under audit by any governmental authorities, and none of them has received written notice of any pending or, to the Company’s knowledge, threatened audit other than with respect to routine tax audits which the Company does not reasonably believe would have a material adverse effect on the Company and its subsidiaries, taken as a whole.</w:t>
      </w:r>
    </w:p>
    <w:p>
      <w:pPr>
        <w:spacing w:after="0" w:line="81" w:lineRule="exact"/>
        <w:rPr>
          <w:rFonts w:ascii="Times New Roman" w:cs="Times New Roman" w:eastAsia="Times New Roman" w:hAnsi="Times New Roman"/>
          <w:sz w:val="18"/>
          <w:szCs w:val="18"/>
          <w:color w:val="auto"/>
        </w:rPr>
      </w:pPr>
    </w:p>
    <w:p>
      <w:pPr>
        <w:ind w:right="240" w:firstLine="419"/>
        <w:spacing w:after="0" w:line="282" w:lineRule="auto"/>
        <w:tabs>
          <w:tab w:leader="none" w:pos="7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initial filing of the Registration Statement with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40" w:firstLine="419"/>
        <w:spacing w:after="0" w:line="261" w:lineRule="auto"/>
        <w:tabs>
          <w:tab w:leader="none" w:pos="8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70" w:right="479" w:bottom="1440" w:gutter="0" w:footer="0" w:header="0"/>
        </w:sectPr>
      </w:pPr>
    </w:p>
    <w:bookmarkStart w:id="29" w:name="page30"/>
    <w:bookmarkEnd w:id="29"/>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or Rule 163B of the Securities Act.</w:t>
      </w:r>
    </w:p>
    <w:p>
      <w:pPr>
        <w:spacing w:after="0" w:line="75" w:lineRule="exact"/>
        <w:rPr>
          <w:sz w:val="20"/>
          <w:szCs w:val="20"/>
          <w:color w:val="auto"/>
        </w:rPr>
      </w:pPr>
    </w:p>
    <w:p>
      <w:pPr>
        <w:ind w:left="4" w:right="60" w:firstLine="419"/>
        <w:spacing w:after="0" w:line="254" w:lineRule="auto"/>
        <w:tabs>
          <w:tab w:leader="none" w:pos="86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8(b).</w:t>
      </w:r>
    </w:p>
    <w:p>
      <w:pPr>
        <w:spacing w:after="0" w:line="80"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8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laws and regulations of France, all dividends and other distributions declared and payable on the share capital of the Company in cash may be freely remitted out of France and may be paid in, or freely converted into, United States dollars, in each case without there being required any consent, approval, authorization or order of, or qualification with, any court or governmental agency or body in France; and except as disclosed in each of the Registration Statement, the Time of Sale Prospectus, the Prospectus and the Public Documents, all such dividends and other distributions paid by the Company will not be subject to withholding under the laws and regulations of France.</w:t>
      </w:r>
    </w:p>
    <w:p>
      <w:pPr>
        <w:spacing w:after="0" w:line="75" w:lineRule="exact"/>
        <w:rPr>
          <w:rFonts w:ascii="Times New Roman" w:cs="Times New Roman" w:eastAsia="Times New Roman" w:hAnsi="Times New Roman"/>
          <w:sz w:val="18"/>
          <w:szCs w:val="18"/>
          <w:color w:val="auto"/>
        </w:rPr>
      </w:pPr>
    </w:p>
    <w:p>
      <w:pPr>
        <w:ind w:left="4" w:firstLine="419"/>
        <w:spacing w:after="0" w:line="269" w:lineRule="auto"/>
        <w:tabs>
          <w:tab w:leader="none" w:pos="86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disclosed in the Registration Statement, the Time of Sale Prospectus and the Prospectus, no documentary, stamp, registration or similar issuance tax (including, for the avoidance of doubt, financial transaction tax as set out in Article 235 ter ZD of the </w:t>
      </w:r>
      <w:r>
        <w:rPr>
          <w:rFonts w:ascii="Times New Roman" w:cs="Times New Roman" w:eastAsia="Times New Roman" w:hAnsi="Times New Roman"/>
          <w:sz w:val="17"/>
          <w:szCs w:val="17"/>
          <w:i w:val="1"/>
          <w:iCs w:val="1"/>
          <w:color w:val="auto"/>
        </w:rPr>
        <w:t>Code général des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impôts</w:t>
      </w:r>
      <w:r>
        <w:rPr>
          <w:rFonts w:ascii="Times New Roman" w:cs="Times New Roman" w:eastAsia="Times New Roman" w:hAnsi="Times New Roman"/>
          <w:sz w:val="17"/>
          <w:szCs w:val="17"/>
          <w:color w:val="auto"/>
        </w:rPr>
        <w:t>) are payable by or on behalf of the Underwriters, investors acquiring the Securities, the Company or any of its subsidiaries in France 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taxing authority thereof or therein in connection with (i) the execution, delivery or consummation of the Deposit Agreement and of this Agreement, (ii) the deposit with the Depositary of the Underlying Shares against issuance by the Depositary of the ADRs evidencing the ADSs,</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delivery of the Securities (or the ADRs evidencing the ADSs) by the Depositary to or for the account of the Underwriters, or</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the initial sale and delivery by the Underwriters of the Securities, as the case may be, as contemplated herein.</w:t>
      </w:r>
    </w:p>
    <w:p>
      <w:pPr>
        <w:spacing w:after="0" w:line="1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4"/>
          </w:cols>
          <w:pgMar w:left="876" w:top="270" w:right="439" w:bottom="1440" w:gutter="0" w:footer="0" w:header="0"/>
        </w:sectPr>
      </w:pPr>
    </w:p>
    <w:bookmarkStart w:id="30" w:name="page31"/>
    <w:bookmarkEnd w:id="30"/>
    <w:p>
      <w:pPr>
        <w:ind w:right="40" w:firstLine="419"/>
        <w:spacing w:after="0" w:line="312" w:lineRule="auto"/>
        <w:tabs>
          <w:tab w:leader="none" w:pos="82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current and anticipated value of its assets and the nature and composition of its income and assets, the Company believes that it was not a “passive foreign investment company” for U.S. federal income tax purposes for the taxable year ended December 31, 2024.</w:t>
      </w:r>
    </w:p>
    <w:p>
      <w:pPr>
        <w:spacing w:after="0" w:line="31" w:lineRule="exact"/>
        <w:rPr>
          <w:rFonts w:ascii="Times New Roman" w:cs="Times New Roman" w:eastAsia="Times New Roman" w:hAnsi="Times New Roman"/>
          <w:sz w:val="17"/>
          <w:szCs w:val="17"/>
          <w:color w:val="auto"/>
        </w:rPr>
      </w:pPr>
    </w:p>
    <w:p>
      <w:pPr>
        <w:ind w:right="220" w:firstLine="419"/>
        <w:spacing w:after="0" w:line="266" w:lineRule="auto"/>
        <w:tabs>
          <w:tab w:leader="none" w:pos="7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60" w:firstLine="419"/>
        <w:spacing w:after="0" w:line="254" w:lineRule="auto"/>
        <w:tabs>
          <w:tab w:leader="none" w:pos="8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 proper form under the laws of France for the enforcement thereof against the Company in accordance with its terms, except as enforceability may be limited by applicable bankruptcy, insolvency, reorganization or similar laws affecting the enforcement of creditors’ rights generally or by equitable principles relating to enforceability; to ensure the legality, validity, enforceability or admissibility into evidence in France of this Agreement, it is not necessary that this Agreement be filed or recorded with any court or other authority in France (other than court filings in the normal course of proceedings) or that any stamp or similar tax in France be paid on or in respect of this Agreement or any other documents to be furnished hereunder; provided that, as a general rule, any document in a language other than French must be translated into French by an official sworn translator if it is to be submitted as evidence in any action or proceedings before a French court or public body or used for any purpose (including registration) with public bodies.</w:t>
      </w:r>
    </w:p>
    <w:p>
      <w:pPr>
        <w:spacing w:after="0" w:line="83"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405 of the Securities Act.</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7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France would recognize as a valid judgment any final monetary judgment obtained against the Company in connection with this Agreement in the courts of the State of New York having competent jurisdiction in respect of this Agreement (the “</w:t>
      </w:r>
      <w:r>
        <w:rPr>
          <w:rFonts w:ascii="Times New Roman" w:cs="Times New Roman" w:eastAsia="Times New Roman" w:hAnsi="Times New Roman"/>
          <w:sz w:val="18"/>
          <w:szCs w:val="18"/>
          <w:b w:val="1"/>
          <w:bCs w:val="1"/>
          <w:color w:val="auto"/>
        </w:rPr>
        <w:t>U.S. Judgment</w:t>
      </w:r>
      <w:r>
        <w:rPr>
          <w:rFonts w:ascii="Times New Roman" w:cs="Times New Roman" w:eastAsia="Times New Roman" w:hAnsi="Times New Roman"/>
          <w:sz w:val="18"/>
          <w:szCs w:val="18"/>
          <w:color w:val="auto"/>
        </w:rPr>
        <w:t>”), provided that such French court is provided with both a certified copy and a translation into French (by a sworn translator) of the U.S. Judgment and other relevant documents and determines that the requirements developed by French case law for the enforcement of foreign judgments, in the absence of any multilateral or bilateral treaty between the United States and France on the recognition and enforcement of foreign judgments, are satisfied, in particular that:</w:t>
      </w:r>
    </w:p>
    <w:p>
      <w:pPr>
        <w:spacing w:after="0" w:line="79" w:lineRule="exact"/>
        <w:rPr>
          <w:rFonts w:ascii="Times New Roman" w:cs="Times New Roman" w:eastAsia="Times New Roman" w:hAnsi="Times New Roman"/>
          <w:sz w:val="18"/>
          <w:szCs w:val="18"/>
          <w:color w:val="auto"/>
        </w:rPr>
      </w:pPr>
    </w:p>
    <w:p>
      <w:pPr>
        <w:ind w:left="1660" w:hanging="210"/>
        <w:spacing w:after="0"/>
        <w:tabs>
          <w:tab w:leader="none" w:pos="1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is enforceable within the State of New York, according to the laws of the State of New York;</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31" w:name="page32"/>
    <w:bookmarkEnd w:id="31"/>
    <w:p>
      <w:pPr>
        <w:jc w:val="both"/>
        <w:ind w:left="540" w:right="100" w:firstLine="910"/>
        <w:spacing w:after="0" w:line="266" w:lineRule="auto"/>
        <w:tabs>
          <w:tab w:leader="none" w:pos="17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U.S. judgment was rendered by a court having jurisdiction over the matter as the dispute has a clear connection with such court (i.e., there was no international forum shopping), the choice of the U.S. court was not fraudulent and the French courts did not have exclusive jurisdiction over the dispute;</w:t>
      </w:r>
    </w:p>
    <w:p>
      <w:pPr>
        <w:spacing w:after="0" w:line="65" w:lineRule="exact"/>
        <w:rPr>
          <w:rFonts w:ascii="Times New Roman" w:cs="Times New Roman" w:eastAsia="Times New Roman" w:hAnsi="Times New Roman"/>
          <w:sz w:val="18"/>
          <w:szCs w:val="18"/>
          <w:color w:val="auto"/>
        </w:rPr>
      </w:pPr>
    </w:p>
    <w:p>
      <w:pPr>
        <w:ind w:left="540" w:right="140" w:firstLine="910"/>
        <w:spacing w:after="0" w:line="267" w:lineRule="auto"/>
        <w:tabs>
          <w:tab w:leader="none" w:pos="17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does not contravene French international public policy rules (“</w:t>
      </w:r>
      <w:r>
        <w:rPr>
          <w:rFonts w:ascii="Times New Roman" w:cs="Times New Roman" w:eastAsia="Times New Roman" w:hAnsi="Times New Roman"/>
          <w:sz w:val="18"/>
          <w:szCs w:val="18"/>
          <w:i w:val="1"/>
          <w:iCs w:val="1"/>
          <w:color w:val="auto"/>
        </w:rPr>
        <w:t>ordre public international français</w:t>
      </w:r>
      <w:r>
        <w:rPr>
          <w:rFonts w:ascii="Times New Roman" w:cs="Times New Roman" w:eastAsia="Times New Roman" w:hAnsi="Times New Roman"/>
          <w:sz w:val="18"/>
          <w:szCs w:val="18"/>
          <w:color w:val="auto"/>
        </w:rPr>
        <w:t>”), both pertaining to the merits (“</w:t>
      </w:r>
      <w:r>
        <w:rPr>
          <w:rFonts w:ascii="Times New Roman" w:cs="Times New Roman" w:eastAsia="Times New Roman" w:hAnsi="Times New Roman"/>
          <w:sz w:val="18"/>
          <w:szCs w:val="18"/>
          <w:i w:val="1"/>
          <w:iCs w:val="1"/>
          <w:color w:val="auto"/>
        </w:rPr>
        <w:t>ordre public international français de fond</w:t>
      </w:r>
      <w:r>
        <w:rPr>
          <w:rFonts w:ascii="Times New Roman" w:cs="Times New Roman" w:eastAsia="Times New Roman" w:hAnsi="Times New Roman"/>
          <w:sz w:val="18"/>
          <w:szCs w:val="18"/>
          <w:color w:val="auto"/>
        </w:rPr>
        <w:t>”) and to the procedure of the case, including fair trial rights (“</w:t>
      </w:r>
      <w:r>
        <w:rPr>
          <w:rFonts w:ascii="Times New Roman" w:cs="Times New Roman" w:eastAsia="Times New Roman" w:hAnsi="Times New Roman"/>
          <w:sz w:val="18"/>
          <w:szCs w:val="18"/>
          <w:i w:val="1"/>
          <w:iCs w:val="1"/>
          <w:color w:val="auto"/>
        </w:rPr>
        <w:t>ordre public international français de procédure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200" w:firstLine="910"/>
        <w:spacing w:after="0" w:line="282" w:lineRule="auto"/>
        <w:tabs>
          <w:tab w:leader="none" w:pos="174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is not tainted with fraud under French law (i.e., the parties did not submit the dispute to the court in order to maliciously avoid the application of a foreign law, including in particular French law); and</w:t>
      </w:r>
    </w:p>
    <w:p>
      <w:pPr>
        <w:spacing w:after="0" w:line="53" w:lineRule="exact"/>
        <w:rPr>
          <w:rFonts w:ascii="Times New Roman" w:cs="Times New Roman" w:eastAsia="Times New Roman" w:hAnsi="Times New Roman"/>
          <w:sz w:val="18"/>
          <w:szCs w:val="18"/>
          <w:color w:val="auto"/>
        </w:rPr>
      </w:pPr>
    </w:p>
    <w:p>
      <w:pPr>
        <w:ind w:left="540" w:firstLine="910"/>
        <w:spacing w:after="0" w:line="261" w:lineRule="auto"/>
        <w:tabs>
          <w:tab w:leader="none" w:pos="16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judgment does not conflict with a French judgment or a foreign judgment that has become effective in France, and there are no proceedings initiated prior to the time the enforcement of the judgment is sought having the same or similar subject matter as such U.S. judgment and still pending before French courts at that time and no such proceedings are filed before French courts after the enforcement proceedings have been initiated.</w:t>
      </w:r>
    </w:p>
    <w:p>
      <w:pPr>
        <w:spacing w:after="0" w:line="71" w:lineRule="exact"/>
        <w:rPr>
          <w:rFonts w:ascii="Times New Roman" w:cs="Times New Roman" w:eastAsia="Times New Roman" w:hAnsi="Times New Roman"/>
          <w:sz w:val="18"/>
          <w:szCs w:val="18"/>
          <w:color w:val="auto"/>
        </w:rPr>
      </w:pPr>
    </w:p>
    <w:p>
      <w:pPr>
        <w:ind w:right="40" w:firstLine="419"/>
        <w:spacing w:after="0" w:line="261" w:lineRule="auto"/>
        <w:tabs>
          <w:tab w:leader="none" w:pos="7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France. The irrevocable and unconditional waiver and agreement of the Company contained in Section 13(a) not to plead or claim any such immunity in any legal action, suit or proceeding based on this Agreement is valid and binding under the laws of France.</w:t>
      </w:r>
    </w:p>
    <w:p>
      <w:pPr>
        <w:spacing w:after="0" w:line="69" w:lineRule="exact"/>
        <w:rPr>
          <w:rFonts w:ascii="Times New Roman" w:cs="Times New Roman" w:eastAsia="Times New Roman" w:hAnsi="Times New Roman"/>
          <w:sz w:val="18"/>
          <w:szCs w:val="18"/>
          <w:color w:val="auto"/>
        </w:rPr>
      </w:pPr>
    </w:p>
    <w:p>
      <w:pPr>
        <w:ind w:right="20" w:firstLine="419"/>
        <w:spacing w:after="0" w:line="256" w:lineRule="auto"/>
        <w:tabs>
          <w:tab w:leader="none" w:pos="8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rules governing international </w:t>
      </w:r>
      <w:r>
        <w:rPr>
          <w:rFonts w:ascii="Times New Roman" w:cs="Times New Roman" w:eastAsia="Times New Roman" w:hAnsi="Times New Roman"/>
          <w:sz w:val="18"/>
          <w:szCs w:val="18"/>
          <w:i w:val="1"/>
          <w:iCs w:val="1"/>
          <w:color w:val="auto"/>
        </w:rPr>
        <w:t>lis alibi pendens</w:t>
      </w:r>
      <w:r>
        <w:rPr>
          <w:rFonts w:ascii="Times New Roman" w:cs="Times New Roman" w:eastAsia="Times New Roman" w:hAnsi="Times New Roman"/>
          <w:sz w:val="18"/>
          <w:szCs w:val="18"/>
          <w:color w:val="auto"/>
        </w:rPr>
        <w:t xml:space="preserve"> under French private international law, the choice of law of the State of New York as the governing law of this Agreement is a valid choice of law under French law and will be upheld as a valid submission to jurisdiction under French private international law in any action or proceeding before a competent French court. The Company has the power to submit, and pursuant to Section 13(a) of this Agreement and Section 7.6 of the Deposit Agreement has, to the extent permitted by law, legally, validly, effectively and irrevocably submitted, to the jurisdiction of the Specified Courts (as defined in Section 13(a)), and has the power to designate, appoint and empower, and pursuant to Section 13(b), has legally, validly and effectively designated, appointed and empowered an agent for service of process in any suit or proceeding based on or arising under this Agreement in any of the Specified Courts.</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32" w:name="page33"/>
    <w:bookmarkEnd w:id="32"/>
    <w:p>
      <w:pPr>
        <w:ind w:right="120" w:firstLine="436"/>
        <w:spacing w:after="0" w:line="258" w:lineRule="auto"/>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Agreements to Sell and Purchase. </w:t>
      </w:r>
      <w:r>
        <w:rPr>
          <w:rFonts w:ascii="Times New Roman" w:cs="Times New Roman" w:eastAsia="Times New Roman" w:hAnsi="Times New Roman"/>
          <w:sz w:val="18"/>
          <w:szCs w:val="18"/>
          <w:color w:val="auto"/>
        </w:rPr>
        <w:t>The Company hereby agrees to issue and sell to the several Underwriters, and each Underwriter,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basis of the representations and warranties herein contained, but subject to the terms and conditions hereinafter stated, agrees, severally and not jointly, to purchase from the Company the respective numbers of Firm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its name at $64.00 per ADS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It is understood that the obligations of the Underwriters contained in this Agreement shall not constitute a performance guarantee (</w:t>
      </w:r>
      <w:r>
        <w:rPr>
          <w:rFonts w:ascii="Times New Roman" w:cs="Times New Roman" w:eastAsia="Times New Roman" w:hAnsi="Times New Roman"/>
          <w:sz w:val="18"/>
          <w:szCs w:val="18"/>
          <w:i w:val="1"/>
          <w:iCs w:val="1"/>
          <w:color w:val="auto"/>
        </w:rPr>
        <w:t>garantie de bonne fin</w:t>
      </w:r>
      <w:r>
        <w:rPr>
          <w:rFonts w:ascii="Times New Roman" w:cs="Times New Roman" w:eastAsia="Times New Roman" w:hAnsi="Times New Roman"/>
          <w:sz w:val="18"/>
          <w:szCs w:val="18"/>
          <w:color w:val="auto"/>
        </w:rPr>
        <w:t>) within the meaning of Article L. 225-145 of the French Commercial Code.</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the basis of the representations and warranties contained in this Agreement, and subject to its terms and conditions, the Company agrees to sell to the Underwriters the Additional Securities, and the Underwriters shall have the right to purchase, severally and not jointly, up to 1,523,400 Additional Securities at the Public Offering Price. The Representatives may exercise this right on behalf of the Underwriters once in whole or in part by giving written notice not later than 30 days after the date of this Agreement. The exercise notice shall specify the number and type of Additional Securities to be purchased by the Underwriters and the date on which such securities are to be purchased. The purchase date must be at least two business days after the written notice is given and may not be earlier than the Closing Date for the Firm Securities or later than ten business days after the date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purchase date may be one business day after the date of such notice if such purchase date is the Closing Date. Additional Securities may be purchased as provided in Section 4 hereof solely for the purpose of covering over-allotments made in connection with the offering of the Firm Securities. On the day, if any, that Additional Securities are to be purchased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each Underwriter agrees, severally and not jointly, to purchase the number of Additional Securities (subject to such adjustments to eliminate fractional shares as the Representatives may determine) that bears the same proportion to the total number of Additional Securities to be purchased on such Option Closing Date as the number of Firm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the name of such Underwriter bears to the total number of Firm Securities.</w:t>
      </w:r>
    </w:p>
    <w:p>
      <w:pPr>
        <w:spacing w:after="0" w:line="188" w:lineRule="exact"/>
        <w:rPr>
          <w:sz w:val="20"/>
          <w:szCs w:val="20"/>
          <w:color w:val="auto"/>
        </w:rPr>
      </w:pPr>
    </w:p>
    <w:p>
      <w:pPr>
        <w:jc w:val="both"/>
        <w:ind w:right="20" w:firstLine="436"/>
        <w:spacing w:after="0" w:line="27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Terms of Public Offering</w:t>
      </w:r>
      <w:r>
        <w:rPr>
          <w:rFonts w:ascii="Times New Roman" w:cs="Times New Roman" w:eastAsia="Times New Roman" w:hAnsi="Times New Roman"/>
          <w:sz w:val="17"/>
          <w:szCs w:val="17"/>
          <w:color w:val="auto"/>
        </w:rPr>
        <w:t>. The Company is advised by the Representatives that the Underwriters propose to distribute their respective portions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Securities sold to them as contemplated hereby and in the Prospectus as soon after the Registration Statement and this Agreement have become effective as in the Representatives’ judgment is advisable. The Company is further advised by the Representatives that the Securities are to be offered to the public initially at the Public Offering Price and to certain dealers selected by the Representatives at a price that represents a concession not in excess of $2.3040 per share of the Securities under the Public Offering Price, and that any Underwriter may allow, and such dealers may reallow, a concession.</w:t>
      </w:r>
    </w:p>
    <w:p>
      <w:pPr>
        <w:spacing w:after="0" w:line="167" w:lineRule="exact"/>
        <w:rPr>
          <w:rFonts w:ascii="Times New Roman" w:cs="Times New Roman" w:eastAsia="Times New Roman" w:hAnsi="Times New Roman"/>
          <w:sz w:val="17"/>
          <w:szCs w:val="17"/>
          <w:color w:val="auto"/>
        </w:rPr>
      </w:pPr>
    </w:p>
    <w:p>
      <w:pPr>
        <w:ind w:right="220" w:firstLine="436"/>
        <w:spacing w:after="0" w:line="267"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Payment for the Firm Securities shall be made to the Company by wire transfer of immediately available funds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designated by the Company in writing at least one business day prior to the Closing Date (the “</w:t>
      </w:r>
      <w:r>
        <w:rPr>
          <w:rFonts w:ascii="Times New Roman" w:cs="Times New Roman" w:eastAsia="Times New Roman" w:hAnsi="Times New Roman"/>
          <w:sz w:val="18"/>
          <w:szCs w:val="18"/>
          <w:b w:val="1"/>
          <w:bCs w:val="1"/>
          <w:color w:val="auto"/>
        </w:rPr>
        <w:t>Designated Account</w:t>
      </w:r>
      <w:r>
        <w:rPr>
          <w:rFonts w:ascii="Times New Roman" w:cs="Times New Roman" w:eastAsia="Times New Roman" w:hAnsi="Times New Roman"/>
          <w:sz w:val="18"/>
          <w:szCs w:val="18"/>
          <w:color w:val="auto"/>
        </w:rPr>
        <w:t>”), which Designated Account shall be held at Uptevia, as transfer agent and registrar of the Company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for purposes of settlement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8" w:right="479" w:bottom="1440" w:gutter="0" w:footer="0" w:header="0"/>
        </w:sectPr>
      </w:pPr>
    </w:p>
    <w:bookmarkStart w:id="33" w:name="page34"/>
    <w:bookmarkEnd w:id="3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the Firm Securities. Such funds are to be available in such Designated Account by 9 a.m., Central European Time, on July 28, 2025 or at such other time on the same or such other date, not later than August 4, 2025, as shall be agreed in writing by the Representatives and the Company. The time and date of settlement and delivery of the Firm Securities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Securities shall be made to the Company by wire transfer of immediately available funds to the Designated Account, which shall be held at the Registrar for purposes of settlement and delivery of the Additional Securities. Such funds are to be available in the Designated Account on the date specified in the corresponding notice described in Section 2 or at such other time on the same or on such other date, in any event not later than September 1, 2025 as shall be agreed in writing by the Representatives and the Company.</w:t>
      </w:r>
    </w:p>
    <w:p>
      <w:pPr>
        <w:spacing w:after="0" w:line="180"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No later than 11 a.m. Central European Time on the Closing Date and, as the case may be, the Option Closing Date, the Registrar shall issue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in accordance with Article L. 225-146 of the French Commercial Code, relating to the capital increase, and, as the case may be, the additional capital increase, of the Company, and shall deliver two originals of such certificate to the Company. At least one full business day prior to the Closing Date, the Company shall have taken all actions and provided the Registrar with all notices, documents, corporate authorizations or other instruments necessary or required to effectuate the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referred herein.</w:t>
      </w:r>
    </w:p>
    <w:p>
      <w:pPr>
        <w:spacing w:after="0" w:line="18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the Closing Date and, as the case may be, on the Option Closing Date, immediately after issuing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the Registrar shall: (i) send to Euroclear, in the name and on behalf of the Company,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Underlying Shares corresponding to the Firm Securities (and, as the case may be, the Additional Securities) and for credit thereof no later than on the Closing Date (and, as the case may be, the Option Closing Date) in a securities account opened in the name and on behalf of the Company in the books of the Registrar; and (ii) transfer the Underlying Shares corresponding to the Firm Securities (and, as the case may be, the Additional Securities) to the Registrar, as custodian under the Deposit Agreement, for the account of the Depositary against issuance of ADRs evidencing ADSs in accordance with the Deposit Agreement. Delivery of the ADSs and/or the ADRs evidencing ADSs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applicable Representatives shall otherwise instruct. Prior to the Closing Date, the Company shall have taken all actions and made all necessary filings with Euronext and Euroclear, and with the Depositary and DTC, to facilitate the transfer of the Underlying Shares through Euroclear and the Securities through DTC. The ADRs evidencing the ADSs shall be registered in such names and denominations as the applicable Representatives shall have requested at least one full business day prior to the Closing Date (or the Option Closing Date, as the case may be). Time shall be of the essence, and delivery at the time and place specified in this Agreement is a further condition to the obligations of the Underwriters.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ind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Firm Securities (and Additional Securities, if elected by the Representatives) are not delivered to the Representatives by 2:30 p.m., New York City time, on the Closing Date (and the Option Closing Date, as the case may be), the Company will return (or will instruct its custodian to return) payment of the full purchase price to Piper Sandler &amp; Co.’s agent, Pershing LLC, via same day funds by 4:30 p.m., New York City time. The Company shall remain liable to the Representatives for the full amount of the purchase price until the full amount has been received by Pershing LLC.</w:t>
      </w:r>
    </w:p>
    <w:p>
      <w:pPr>
        <w:spacing w:after="0" w:line="16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As compensation for the Underwriters’ commitments, in addition to the expenses outlined in Section 6(j) hereof, the Company shall pay, or cause the Registrar to pay, to Piper Sandler &amp; Co. for purposes of settlement and delivery of the Securities, a commission equal to the product of $3.84 and the number of Firm Securities (and/or Additional Securities, as the case may be) to be issued at the Closing Date (or the Option Closing Date, as the case may be) in the Offering. The aforementioned commissions shall be deducted from the gross proceeds payable to the Company on the Closing Date (or the Option Closing Date, as the case may be), in United States dollars and shall be paid on such date by the Registrar to Piper Sandler &amp; Co. on behalf of the Underwriters as soon as possible after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referred to above. The Company irrevocably agrees to such transfer.</w:t>
      </w:r>
    </w:p>
    <w:p>
      <w:pPr>
        <w:spacing w:after="0" w:line="187" w:lineRule="exact"/>
        <w:rPr>
          <w:sz w:val="20"/>
          <w:szCs w:val="20"/>
          <w:color w:val="auto"/>
        </w:rPr>
      </w:pPr>
    </w:p>
    <w:p>
      <w:pPr>
        <w:ind w:right="260" w:firstLine="436"/>
        <w:spacing w:after="0" w:line="267"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Securities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Securities on the Closing Date are subject to the condition that the Registration Statement shall have become effective not later than 5:30 p.m. (New York City time) on the date 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7" w:lineRule="exact"/>
        <w:rPr>
          <w:sz w:val="20"/>
          <w:szCs w:val="20"/>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80" w:right="200" w:firstLine="910"/>
        <w:spacing w:after="0" w:line="266" w:lineRule="auto"/>
        <w:tabs>
          <w:tab w:leader="none" w:pos="20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or the ADS Registration Statement shall be in effect, and no proceeding for such purpose or pursuant to Section 8A under the Securities Act shall be pending before or threatened by the Commission; and</w:t>
      </w:r>
    </w:p>
    <w:p>
      <w:pPr>
        <w:spacing w:after="0" w:line="67" w:lineRule="exact"/>
        <w:rPr>
          <w:rFonts w:ascii="Times New Roman" w:cs="Times New Roman" w:eastAsia="Times New Roman" w:hAnsi="Times New Roman"/>
          <w:sz w:val="18"/>
          <w:szCs w:val="18"/>
          <w:color w:val="auto"/>
        </w:rPr>
      </w:pPr>
    </w:p>
    <w:p>
      <w:pPr>
        <w:ind w:left="980" w:right="160" w:firstLine="910"/>
        <w:spacing w:after="0" w:line="261" w:lineRule="auto"/>
        <w:tabs>
          <w:tab w:leader="none" w:pos="21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ind w:right="80" w:firstLine="419"/>
        <w:spacing w:after="0" w:line="258"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proceedings threatened.</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furnished or caused to be furnished to the Underwriters on the Closing Date a certificate, dated the Closing Date and satisfactory to the Representatives, of one of its authorized officers with respect to the deposit with it of the Underlying Shares, the issuance of the ADRs evidencing the Underlying Shares delivered in the form of the ADSs, the execution, issuance, countersignature and delivery of the ADRs evidencing the Underlying Shares delivered in the form of the ADSs pursuant to the Deposit Agreement and such other customary matters related thereto as the Representatives may reasonably request.</w:t>
      </w:r>
    </w:p>
    <w:p>
      <w:pPr>
        <w:spacing w:after="0" w:line="75" w:lineRule="exact"/>
        <w:rPr>
          <w:rFonts w:ascii="Times New Roman" w:cs="Times New Roman" w:eastAsia="Times New Roman" w:hAnsi="Times New Roman"/>
          <w:sz w:val="18"/>
          <w:szCs w:val="18"/>
          <w:color w:val="auto"/>
        </w:rPr>
      </w:pPr>
    </w:p>
    <w:p>
      <w:pPr>
        <w:ind w:right="12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Cooley LLP, U.S. counsel for the Company, each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Dechert (Paris) LLP, French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420" w:firstLine="419"/>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Latham &amp; Watkins LLP, U.S. counsel for the Underwriters, each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Gide Loyrette Nouel A.A.R.P.I., French counsel for the Underwriters,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Nony, special patent counsel for Company, dated the Closing Date, in form and substance reasonably satisfactory to the Representatives.</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0"/>
          </w:cols>
          <w:pgMar w:left="880" w:top="270" w:right="499" w:bottom="1440" w:gutter="0" w:footer="0" w:header="0"/>
        </w:sectPr>
      </w:pPr>
    </w:p>
    <w:bookmarkStart w:id="36" w:name="page37"/>
    <w:bookmarkEnd w:id="36"/>
    <w:p>
      <w:pPr>
        <w:ind w:right="800" w:firstLine="419"/>
        <w:spacing w:after="0" w:line="282" w:lineRule="auto"/>
        <w:tabs>
          <w:tab w:leader="none" w:pos="6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of Patterson Belknap Webb &amp; Tyler LLP, counsel for the Depositary,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60" w:firstLine="419"/>
        <w:spacing w:after="0" w:line="258" w:lineRule="auto"/>
        <w:tabs>
          <w:tab w:leader="none" w:pos="6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PricewaterhouseCoopers Audit,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73" w:lineRule="exact"/>
        <w:rPr>
          <w:rFonts w:ascii="Times New Roman" w:cs="Times New Roman" w:eastAsia="Times New Roman" w:hAnsi="Times New Roman"/>
          <w:sz w:val="18"/>
          <w:szCs w:val="18"/>
          <w:color w:val="auto"/>
        </w:rPr>
      </w:pPr>
    </w:p>
    <w:p>
      <w:pPr>
        <w:ind w:right="60" w:firstLine="419"/>
        <w:spacing w:after="0" w:line="261"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electronic copy of (i) the up-to-date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extrait K-bis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certificat de non-faillite </w:t>
      </w:r>
      <w:r>
        <w:rPr>
          <w:rFonts w:ascii="Times New Roman" w:cs="Times New Roman" w:eastAsia="Times New Roman" w:hAnsi="Times New Roman"/>
          <w:sz w:val="18"/>
          <w:szCs w:val="18"/>
          <w:color w:val="auto"/>
        </w:rPr>
        <w:t>of the Company dated less than five business days before the Closing Date and (ii) certified extracts of the minutes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resolutions of the Company’s combined general shareholders’ meeting dated June 6, 2025 and the decisions of the board of directors (</w:t>
      </w:r>
      <w:r>
        <w:rPr>
          <w:rFonts w:ascii="Times New Roman" w:cs="Times New Roman" w:eastAsia="Times New Roman" w:hAnsi="Times New Roman"/>
          <w:sz w:val="18"/>
          <w:szCs w:val="18"/>
          <w:i w:val="1"/>
          <w:iCs w:val="1"/>
          <w:color w:val="auto"/>
        </w:rPr>
        <w:t>conseil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d’administration</w:t>
      </w:r>
      <w:r>
        <w:rPr>
          <w:rFonts w:ascii="Times New Roman" w:cs="Times New Roman" w:eastAsia="Times New Roman" w:hAnsi="Times New Roman"/>
          <w:sz w:val="18"/>
          <w:szCs w:val="18"/>
          <w:color w:val="auto"/>
        </w:rPr>
        <w:t>) dated July 20, 2025 and of the Chief Executive Officer dated July 23, 2025 and July 24, 2025.</w:t>
      </w:r>
    </w:p>
    <w:p>
      <w:pPr>
        <w:spacing w:after="0" w:line="73" w:lineRule="exact"/>
        <w:rPr>
          <w:rFonts w:ascii="Times New Roman" w:cs="Times New Roman" w:eastAsia="Times New Roman" w:hAnsi="Times New Roman"/>
          <w:sz w:val="18"/>
          <w:szCs w:val="18"/>
          <w:color w:val="auto"/>
        </w:rPr>
      </w:pPr>
    </w:p>
    <w:p>
      <w:pPr>
        <w:ind w:right="140" w:firstLine="419"/>
        <w:spacing w:after="0" w:line="282" w:lineRule="auto"/>
        <w:tabs>
          <w:tab w:leader="none" w:pos="6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shall have executed and delivered the Deposit Agreement, and the Deposit Agreement shall be in full force and effect.</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7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Firm Securities shall have been approved for listing on the Nasdaq Global Market, and the Underlying Shares shall have been approved for listing on Euronext, subject only to official notice of issuance.</w:t>
      </w:r>
    </w:p>
    <w:p>
      <w:pPr>
        <w:spacing w:after="0" w:line="5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sent to Euroclear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Securities.</w:t>
      </w:r>
    </w:p>
    <w:p>
      <w:pPr>
        <w:spacing w:after="0" w:line="119"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once it has received the funds corresponding to the subscription of the applicable Securities and/or irrevocably pre-matched settlement instructions with Piper Sandler &amp; Co., for purposes of settlement and delivery of the Firm Securities, the Registrar shall have issued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provided for by Article L. 225-146 of the French Commercial Code, relating to the capital increase of the Company resulting from the subscription of the Firm Securities, and shall have sent a copy thereof to the Company and the Representatives.</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prepared and issued the Offering Press Releases in accordance with AMF regulations.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40"/>
          </w:cols>
          <w:pgMar w:left="880" w:top="270" w:right="479" w:bottom="1440" w:gutter="0" w:footer="0" w:header="0"/>
        </w:sectPr>
      </w:pPr>
    </w:p>
    <w:bookmarkStart w:id="37" w:name="page38"/>
    <w:bookmarkEnd w:id="37"/>
    <w:p>
      <w:pPr>
        <w:ind w:right="2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liaised with Euronext to publish (i) the notice of issue of the Underlying Shares and (ii) the notice admission of the Underlying Shares for trading on Euronext, each being in full force and effect.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Date, the Securities shall be eligible for clearance and settlement through the facilities of the DTC.</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confirmed that it has not raised any objection with respect to the fairness and reasonableness of the underwriting terms and arrangements relating to the Offering.</w:t>
      </w:r>
    </w:p>
    <w:p>
      <w:pPr>
        <w:spacing w:after="0" w:line="53" w:lineRule="exact"/>
        <w:rPr>
          <w:rFonts w:ascii="Times New Roman" w:cs="Times New Roman" w:eastAsia="Times New Roman" w:hAnsi="Times New Roman"/>
          <w:sz w:val="18"/>
          <w:szCs w:val="18"/>
          <w:color w:val="auto"/>
        </w:rPr>
      </w:pPr>
    </w:p>
    <w:p>
      <w:pPr>
        <w:ind w:right="180" w:firstLine="419"/>
        <w:spacing w:after="0" w:line="289" w:lineRule="auto"/>
        <w:tabs>
          <w:tab w:leader="none" w:pos="6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“lock-up” agreements, each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delivered by certain shareholders and the officers and directors of the Company relating to restrictions on sales and certain other dispositions of ADSs, Ordinary Shares and certain other securities, delivered to the Representatives on or before the date hereof (the “</w:t>
      </w:r>
      <w:r>
        <w:rPr>
          <w:rFonts w:ascii="Times New Roman" w:cs="Times New Roman" w:eastAsia="Times New Roman" w:hAnsi="Times New Roman"/>
          <w:sz w:val="17"/>
          <w:szCs w:val="17"/>
          <w:b w:val="1"/>
          <w:bCs w:val="1"/>
          <w:color w:val="auto"/>
        </w:rPr>
        <w:t>Lock-up Agreements</w:t>
      </w:r>
      <w:r>
        <w:rPr>
          <w:rFonts w:ascii="Times New Roman" w:cs="Times New Roman" w:eastAsia="Times New Roman" w:hAnsi="Times New Roman"/>
          <w:sz w:val="17"/>
          <w:szCs w:val="17"/>
          <w:color w:val="auto"/>
        </w:rPr>
        <w:t>”), shall be in full force and effect on the Closing Date.</w:t>
      </w:r>
    </w:p>
    <w:p>
      <w:pPr>
        <w:spacing w:after="0" w:line="49" w:lineRule="exact"/>
        <w:rPr>
          <w:rFonts w:ascii="Times New Roman" w:cs="Times New Roman" w:eastAsia="Times New Roman" w:hAnsi="Times New Roman"/>
          <w:sz w:val="17"/>
          <w:szCs w:val="17"/>
          <w:color w:val="auto"/>
        </w:rPr>
      </w:pPr>
    </w:p>
    <w:p>
      <w:pPr>
        <w:ind w:right="40" w:firstLine="419"/>
        <w:spacing w:after="0" w:line="266"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this Agreement and on the Closing Date, the Underwriters shall have received from the Company a certificate of its Chief Financial Officer with respect to certain financial data contained in the Time of Sale Prospectus and the Prospectus, which certificate shall be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Securities hereunder are subject to the delivery to the Representatives on the Option Closing Date of the following:</w:t>
      </w:r>
    </w:p>
    <w:p>
      <w:pPr>
        <w:spacing w:after="0" w:line="53" w:lineRule="exact"/>
        <w:rPr>
          <w:rFonts w:ascii="Times New Roman" w:cs="Times New Roman" w:eastAsia="Times New Roman" w:hAnsi="Times New Roman"/>
          <w:sz w:val="18"/>
          <w:szCs w:val="18"/>
          <w:color w:val="auto"/>
        </w:rPr>
      </w:pPr>
    </w:p>
    <w:p>
      <w:pPr>
        <w:ind w:left="540" w:right="580" w:firstLine="910"/>
        <w:spacing w:after="0" w:line="312" w:lineRule="auto"/>
        <w:tabs>
          <w:tab w:leader="none" w:pos="165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Option Closing Date and signed by an executive officer of the Company, confirming that the certificate delivered on the Closing Date pursuant to Section 5(b) hereof remains true and correct as of the Option Closing Date;</w:t>
      </w:r>
    </w:p>
    <w:p>
      <w:pPr>
        <w:spacing w:after="0" w:line="31" w:lineRule="exact"/>
        <w:rPr>
          <w:rFonts w:ascii="Times New Roman" w:cs="Times New Roman" w:eastAsia="Times New Roman" w:hAnsi="Times New Roman"/>
          <w:sz w:val="17"/>
          <w:szCs w:val="17"/>
          <w:color w:val="auto"/>
        </w:rPr>
      </w:pPr>
    </w:p>
    <w:p>
      <w:pPr>
        <w:ind w:left="540" w:right="380" w:firstLine="910"/>
        <w:spacing w:after="0" w:line="282" w:lineRule="auto"/>
        <w:tabs>
          <w:tab w:leader="none" w:pos="17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Depositary in form and substance satisfactory to the Underwriters and dated the Option Closing Date, substantially in the same form and substance as the certificate furnished to the Underwriters pursuant to Section 5(c) hereof;</w:t>
      </w:r>
    </w:p>
    <w:p>
      <w:pPr>
        <w:spacing w:after="0" w:line="53" w:lineRule="exact"/>
        <w:rPr>
          <w:rFonts w:ascii="Times New Roman" w:cs="Times New Roman" w:eastAsia="Times New Roman" w:hAnsi="Times New Roman"/>
          <w:sz w:val="18"/>
          <w:szCs w:val="18"/>
          <w:color w:val="auto"/>
        </w:rPr>
      </w:pPr>
    </w:p>
    <w:p>
      <w:pPr>
        <w:ind w:left="540" w:right="80" w:firstLine="910"/>
        <w:spacing w:after="0" w:line="266" w:lineRule="auto"/>
        <w:tabs>
          <w:tab w:leader="none" w:pos="17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Cooley LLP, U.S. counsel for the Company, each dated the Option Closing Date, relating to the Additional Securities to be purchased on the Option Closing Date and otherwise to the same effect as the opinion and negative assurance letter required by Section 5(d) hereof;</w:t>
      </w:r>
    </w:p>
    <w:p>
      <w:pPr>
        <w:spacing w:after="0" w:line="67" w:lineRule="exact"/>
        <w:rPr>
          <w:rFonts w:ascii="Times New Roman" w:cs="Times New Roman" w:eastAsia="Times New Roman" w:hAnsi="Times New Roman"/>
          <w:sz w:val="18"/>
          <w:szCs w:val="18"/>
          <w:color w:val="auto"/>
        </w:rPr>
      </w:pPr>
    </w:p>
    <w:p>
      <w:pPr>
        <w:ind w:left="540" w:right="60" w:firstLine="910"/>
        <w:spacing w:after="0" w:line="266" w:lineRule="auto"/>
        <w:tabs>
          <w:tab w:leader="none" w:pos="17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Dechert (Paris) LLP, French counsel for the Company, dated the Option Closing Date, relating to the Additional Securities to be purchased on the Option Closing Date and otherwise to the same effect as the opinion required by Section 5(e) 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880" w:top="270" w:right="479" w:bottom="1440" w:gutter="0" w:footer="0" w:header="0"/>
        </w:sectPr>
      </w:pPr>
    </w:p>
    <w:bookmarkStart w:id="38" w:name="page39"/>
    <w:bookmarkEnd w:id="38"/>
    <w:p>
      <w:pPr>
        <w:ind w:left="-20" w:right="80" w:firstLine="910"/>
        <w:spacing w:after="0" w:line="266" w:lineRule="auto"/>
        <w:tabs>
          <w:tab w:leader="none" w:pos="11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and negative assurance letter of Latham &amp; Watkins LLP, U.S. counsel for the Underwriters, each dated the Option Closing Date, relating to the Additional Securities to be purchased on the Option Closing Date and otherwise to the same effect as the opinion and negative assurance letter required by Section 5(f) hereof;</w:t>
      </w:r>
    </w:p>
    <w:p>
      <w:pPr>
        <w:spacing w:after="0" w:line="67" w:lineRule="exact"/>
        <w:rPr>
          <w:rFonts w:ascii="Times New Roman" w:cs="Times New Roman" w:eastAsia="Times New Roman" w:hAnsi="Times New Roman"/>
          <w:sz w:val="18"/>
          <w:szCs w:val="18"/>
          <w:color w:val="auto"/>
        </w:rPr>
      </w:pPr>
    </w:p>
    <w:p>
      <w:pPr>
        <w:ind w:left="-20" w:right="160" w:firstLine="910"/>
        <w:spacing w:after="0" w:line="266" w:lineRule="auto"/>
        <w:tabs>
          <w:tab w:leader="none" w:pos="11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Gide Loyrette Nouel A.A.R.P.I., French counsel for the Underwriters, dated the Option Closing Date, relating to the Additional Securities to be purchased on the Option Closing Date and otherwise to the same effect as the opinion required by Section 5(g) hereof;</w:t>
      </w:r>
    </w:p>
    <w:p>
      <w:pPr>
        <w:spacing w:after="0" w:line="67" w:lineRule="exact"/>
        <w:rPr>
          <w:rFonts w:ascii="Times New Roman" w:cs="Times New Roman" w:eastAsia="Times New Roman" w:hAnsi="Times New Roman"/>
          <w:sz w:val="18"/>
          <w:szCs w:val="18"/>
          <w:color w:val="auto"/>
        </w:rPr>
      </w:pPr>
    </w:p>
    <w:p>
      <w:pPr>
        <w:ind w:left="-20" w:right="240" w:firstLine="910"/>
        <w:spacing w:after="0" w:line="312" w:lineRule="auto"/>
        <w:tabs>
          <w:tab w:leader="none" w:pos="123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Nony, special patent counsel for the Company, dated the Option Closing Date, relating to the Additional Securities to be purchased on the Option Closing Date and otherwise to the same effect as the opinion required by Section 6(g) hereof;</w:t>
      </w:r>
    </w:p>
    <w:p>
      <w:pPr>
        <w:spacing w:after="0" w:line="31" w:lineRule="exact"/>
        <w:rPr>
          <w:rFonts w:ascii="Times New Roman" w:cs="Times New Roman" w:eastAsia="Times New Roman" w:hAnsi="Times New Roman"/>
          <w:sz w:val="17"/>
          <w:szCs w:val="17"/>
          <w:color w:val="auto"/>
        </w:rPr>
      </w:pPr>
    </w:p>
    <w:p>
      <w:pPr>
        <w:ind w:left="-20" w:right="60" w:firstLine="910"/>
        <w:spacing w:after="0" w:line="266" w:lineRule="auto"/>
        <w:tabs>
          <w:tab w:leader="none" w:pos="12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Patterson Belknap Webb &amp; Tyler LLP, counsel for the Depositary, dated the Option Closing Date, relating to the Additional Securities to be purchased on the Option Closing Date and otherwise to the same effect as the opinion required by Section 5(i);</w:t>
      </w:r>
    </w:p>
    <w:p>
      <w:pPr>
        <w:spacing w:after="0" w:line="67" w:lineRule="exact"/>
        <w:rPr>
          <w:rFonts w:ascii="Times New Roman" w:cs="Times New Roman" w:eastAsia="Times New Roman" w:hAnsi="Times New Roman"/>
          <w:sz w:val="18"/>
          <w:szCs w:val="18"/>
          <w:color w:val="auto"/>
        </w:rPr>
      </w:pPr>
    </w:p>
    <w:p>
      <w:pPr>
        <w:ind w:left="-20" w:right="340" w:firstLine="910"/>
        <w:spacing w:after="0" w:line="261" w:lineRule="auto"/>
        <w:tabs>
          <w:tab w:leader="none" w:pos="11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from PricewaterhouseCoopers Audit, dated the Option Closing Date, in form and substance satisfactory to the Underwriters, substantially in the same form and substance as the letter furnished to the Underwriters pursuant to Section 5(j) 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Option Closing Date shall use a “cut-off date” not earlier than two business days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Closing Date;</w:t>
      </w:r>
    </w:p>
    <w:p>
      <w:pPr>
        <w:spacing w:after="0" w:line="71" w:lineRule="exact"/>
        <w:rPr>
          <w:rFonts w:ascii="Times New Roman" w:cs="Times New Roman" w:eastAsia="Times New Roman" w:hAnsi="Times New Roman"/>
          <w:sz w:val="18"/>
          <w:szCs w:val="18"/>
          <w:color w:val="auto"/>
        </w:rPr>
      </w:pPr>
    </w:p>
    <w:p>
      <w:pPr>
        <w:ind w:left="1140" w:hanging="250"/>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prepared and issued the Greenshoe Press Release in accordance with AMF regulations;</w:t>
      </w:r>
    </w:p>
    <w:p>
      <w:pPr>
        <w:spacing w:after="0" w:line="115" w:lineRule="exact"/>
        <w:rPr>
          <w:rFonts w:ascii="Times New Roman" w:cs="Times New Roman" w:eastAsia="Times New Roman" w:hAnsi="Times New Roman"/>
          <w:sz w:val="18"/>
          <w:szCs w:val="18"/>
          <w:color w:val="auto"/>
        </w:rPr>
      </w:pPr>
    </w:p>
    <w:p>
      <w:pPr>
        <w:ind w:left="1200" w:hanging="310"/>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sent to Euroclear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Additional Securities;</w:t>
      </w:r>
    </w:p>
    <w:p>
      <w:pPr>
        <w:spacing w:after="0" w:line="119" w:lineRule="exact"/>
        <w:rPr>
          <w:rFonts w:ascii="Times New Roman" w:cs="Times New Roman" w:eastAsia="Times New Roman" w:hAnsi="Times New Roman"/>
          <w:sz w:val="18"/>
          <w:szCs w:val="18"/>
          <w:color w:val="auto"/>
        </w:rPr>
      </w:pPr>
    </w:p>
    <w:p>
      <w:pPr>
        <w:ind w:left="-20" w:firstLine="910"/>
        <w:spacing w:after="0" w:line="258" w:lineRule="auto"/>
        <w:tabs>
          <w:tab w:leader="none" w:pos="12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Option Closing Date, once it has received the funds corresponding to the subscription of the applicable Securities and/or irrevocably pre-matched settlement instructions with Piper Sandler &amp; Co., for purposes of settlement and delivery of the Additional Securities, the Registrar shall have issued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provided for by Article L. 225-146 of the French Commercial Code, relating to the capital increase of the Company resulting from the subscription of the Additional Securities, and shall have sent a copy thereof to the Company and the Representatives;</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980"/>
          </w:cols>
          <w:pgMar w:left="1440" w:top="270" w:right="479" w:bottom="1440" w:gutter="0" w:footer="0" w:header="0"/>
        </w:sectPr>
      </w:pPr>
    </w:p>
    <w:bookmarkStart w:id="39" w:name="page40"/>
    <w:bookmarkEnd w:id="39"/>
    <w:p>
      <w:pPr>
        <w:ind w:left="544" w:right="400" w:firstLine="910"/>
        <w:spacing w:after="0" w:line="282" w:lineRule="auto"/>
        <w:tabs>
          <w:tab w:leader="none" w:pos="1851"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of the Chief Financial Officer of the Company, dated the Option Closing Date, confirming that the certificate delivered on the Closing Date pursuant to Section 5(u) hereof remains true and correct as of the Option Closing Date; and</w:t>
      </w:r>
    </w:p>
    <w:p>
      <w:pPr>
        <w:spacing w:after="0" w:line="53" w:lineRule="exact"/>
        <w:rPr>
          <w:rFonts w:ascii="Times New Roman" w:cs="Times New Roman" w:eastAsia="Times New Roman" w:hAnsi="Times New Roman"/>
          <w:sz w:val="18"/>
          <w:szCs w:val="18"/>
          <w:color w:val="auto"/>
        </w:rPr>
      </w:pPr>
    </w:p>
    <w:p>
      <w:pPr>
        <w:ind w:left="544" w:right="20" w:firstLine="910"/>
        <w:spacing w:after="0" w:line="266" w:lineRule="auto"/>
        <w:tabs>
          <w:tab w:leader="none" w:pos="1841"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Securities to be sold on the Option Closing Date and other matters related to the issuance of such Additional Securities.</w:t>
      </w:r>
    </w:p>
    <w:p>
      <w:pPr>
        <w:spacing w:after="0" w:line="17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firstLine="419"/>
        <w:spacing w:after="0" w:line="274" w:lineRule="auto"/>
        <w:tabs>
          <w:tab w:leader="none" w:pos="67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to the Representatives, without charge, five signed copies of the Registration Statement and the ADS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64" w:lineRule="exact"/>
        <w:rPr>
          <w:rFonts w:ascii="Times New Roman" w:cs="Times New Roman" w:eastAsia="Times New Roman" w:hAnsi="Times New Roman"/>
          <w:sz w:val="17"/>
          <w:szCs w:val="17"/>
          <w:color w:val="auto"/>
        </w:rPr>
      </w:pPr>
    </w:p>
    <w:p>
      <w:pPr>
        <w:ind w:left="4" w:firstLine="419"/>
        <w:spacing w:after="0" w:line="261" w:lineRule="auto"/>
        <w:tabs>
          <w:tab w:leader="none" w:pos="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ADS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6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8"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484"/>
          </w:cols>
          <w:pgMar w:left="876" w:top="270" w:right="539" w:bottom="1440" w:gutter="0" w:footer="0" w:header="0"/>
        </w:sectPr>
      </w:pPr>
    </w:p>
    <w:bookmarkStart w:id="40" w:name="page41"/>
    <w:bookmarkEnd w:id="40"/>
    <w:p>
      <w:pPr>
        <w:ind w:right="100" w:firstLine="419"/>
        <w:spacing w:after="0" w:line="253" w:lineRule="auto"/>
        <w:tabs>
          <w:tab w:leader="none" w:pos="6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The information contained in such amendment or supplement shall be made available, to the extent the Representatives reasonably determine that it is required by applicable French laws after consultation with the Company, to the public in France through a press release broadcasted pursuant to applicable AMF rules.</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The information contained in such amendment or supplement shall be made available, to the extent the Representatives reasonably determine that it is required by applicable French laws after consultation with the Company, to the public in France through a press release broadcasted pursuant to applicable AMF rules.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41" w:name="page42"/>
    <w:bookmarkEnd w:id="41"/>
    <w:p>
      <w:pPr>
        <w:ind w:right="80" w:firstLine="419"/>
        <w:spacing w:after="0" w:line="282"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endeavor to qualify the Securities for offer and sale under the securities or Blue Sky laws of such jurisdictions as the Representatives shall reasonably request.</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 soon as practicable, before or after the Closing Date and in any event within any prescribed period of time, give such notices to, or make such filings with, Euronext or other agencies or bodies, as shall be required under any applicable laws or regulations in connection with the Offering.</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6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the ADS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Shares (within the time required by Rule 456(b)(1), if applicable)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taxes payable thereon, (iii) the cost of printing or producing any Blue Sky or Legal Investment memorandum in connection with the offer and sale of the Securities (and, if necessary, the Underlying Shares)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the FINRA, in an amount not to exceed, together with the fees and disbursements of counsel described in clause (iii) above, an aggregate of $30,000, (v) all costs and expenses incident to listing the Securities (and the Underlying Shares) on the Nasdaq Global Market and other national securities exchanges and foreign stock exchanges, (vi) the costs and charges of any transfer agent, registrar or depositary, (vii) the costs and expenses of the Company relating to investor presentations on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0"/>
          </w:cols>
          <w:pgMar w:left="880" w:top="270" w:right="459" w:bottom="1440" w:gutter="0" w:footer="0" w:header="0"/>
        </w:sectPr>
      </w:pPr>
    </w:p>
    <w:bookmarkStart w:id="42" w:name="page43"/>
    <w:bookmarkEnd w:id="4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to be paid by the Underwriters), (viii) the document production charges and expenses associated with printing this Agreement (ix) the costs and expenses of qualifying the Securities for inclusion in the book-entry settlement system of DTC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and any advertising expenses connected with any offers they may make.</w:t>
      </w:r>
    </w:p>
    <w:p>
      <w:pPr>
        <w:spacing w:after="0" w:line="86" w:lineRule="exact"/>
        <w:rPr>
          <w:sz w:val="20"/>
          <w:szCs w:val="20"/>
          <w:color w:val="auto"/>
        </w:rPr>
      </w:pPr>
    </w:p>
    <w:p>
      <w:pPr>
        <w:ind w:right="20" w:firstLine="419"/>
        <w:spacing w:after="0" w:line="266"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Securities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ind w:right="140" w:firstLine="419"/>
        <w:spacing w:after="0" w:line="261" w:lineRule="auto"/>
        <w:tabs>
          <w:tab w:leader="none" w:pos="7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prior to the Closing Date or the Option Closing Date, as the case may be, to deposit the Underlying Shares with the Depositary in accordance with the provision of the Deposit Agreement and otherwise to comply with the Deposit Agreement so that ADRs evidencing the applicable ADSs will be issued by the Depositary against receipt of such Underlying Shares and delivered to the Underwriters on the Closing Date or the Option Closing Date, as the case may be.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40"/>
          </w:cols>
          <w:pgMar w:left="880" w:top="270" w:right="479" w:bottom="1440" w:gutter="0" w:footer="0" w:header="0"/>
        </w:sectPr>
      </w:pPr>
    </w:p>
    <w:bookmarkStart w:id="43" w:name="page44"/>
    <w:bookmarkEnd w:id="43"/>
    <w:p>
      <w:pPr>
        <w:jc w:val="both"/>
        <w:ind w:left="444" w:right="500" w:firstLine="419"/>
        <w:spacing w:after="0" w:line="312" w:lineRule="auto"/>
        <w:tabs>
          <w:tab w:leader="none" w:pos="112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use its commercially reasonable efforts to maintain the listing of the ADSs (and the Underlying Shares) on the Nasdaq Global Market and of the Ordinary Shares on Euronext and will comply with all applicable laws and regulations due to such listing.</w:t>
      </w:r>
    </w:p>
    <w:p>
      <w:pPr>
        <w:spacing w:after="0" w:line="31" w:lineRule="exact"/>
        <w:rPr>
          <w:rFonts w:ascii="Times New Roman" w:cs="Times New Roman" w:eastAsia="Times New Roman" w:hAnsi="Times New Roman"/>
          <w:sz w:val="17"/>
          <w:szCs w:val="17"/>
          <w:color w:val="auto"/>
        </w:rPr>
      </w:pPr>
    </w:p>
    <w:p>
      <w:pPr>
        <w:ind w:left="444" w:right="20" w:firstLine="419"/>
        <w:spacing w:after="0" w:line="255" w:lineRule="auto"/>
        <w:tabs>
          <w:tab w:leader="none" w:pos="11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indemnify and hold the Underwriters harmless against, any documentary, stamp, registration or similar issuance tax imposed under French law (including any financial transaction tax as set out in Article 235 ter ZD of the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xml:space="preserve"> or any political sub-division or taxing authority thereof or therein that is payable in connection with (i) the execution, delivery, consummation or enforcement of this Agreement or the Deposit Agreement, (ii) the creation, allotment and issuance of the Securities, (iii) the sale and delivery of the Securities to the Underwriters or purchasers procured by the Underwriters, (iv) the holding or transfer of the Securities, (v) the deposit of the Ordinary Shares with the Depositary and the issuance and delivery of the ADRs evidencing the ADSs or (vi) the resale and delivery of the Securities by the Underwriters in the manner contemplated herein.</w:t>
      </w:r>
    </w:p>
    <w:p>
      <w:pPr>
        <w:spacing w:after="0" w:line="80" w:lineRule="exact"/>
        <w:rPr>
          <w:rFonts w:ascii="Times New Roman" w:cs="Times New Roman" w:eastAsia="Times New Roman" w:hAnsi="Times New Roman"/>
          <w:sz w:val="18"/>
          <w:szCs w:val="18"/>
          <w:color w:val="auto"/>
        </w:rPr>
      </w:pPr>
    </w:p>
    <w:p>
      <w:pPr>
        <w:ind w:left="444" w:right="200" w:firstLine="419"/>
        <w:spacing w:after="0" w:line="261" w:lineRule="auto"/>
        <w:tabs>
          <w:tab w:leader="none" w:pos="11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by the Company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71" w:lineRule="exact"/>
        <w:rPr>
          <w:rFonts w:ascii="Times New Roman" w:cs="Times New Roman" w:eastAsia="Times New Roman" w:hAnsi="Times New Roman"/>
          <w:sz w:val="18"/>
          <w:szCs w:val="18"/>
          <w:color w:val="auto"/>
        </w:rPr>
      </w:pPr>
    </w:p>
    <w:p>
      <w:pPr>
        <w:ind w:left="444" w:right="400" w:firstLine="419"/>
        <w:spacing w:after="0" w:line="289" w:lineRule="auto"/>
        <w:tabs>
          <w:tab w:leader="none" w:pos="112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sums payable to an Underwriter shall be considered exclusive of any value added, sale or similar taxes. Where the Company is obliged to pay value added, sale or similar tax on any amount payable hereunder to an Underwriter, the Company shall in addition to the sum payable hereunder (and at the same time as paying that sum) pay any applicable value added, sale or similar tax in addition to that amount.</w:t>
      </w:r>
    </w:p>
    <w:p>
      <w:pPr>
        <w:spacing w:after="0" w:line="49" w:lineRule="exact"/>
        <w:rPr>
          <w:rFonts w:ascii="Times New Roman" w:cs="Times New Roman" w:eastAsia="Times New Roman" w:hAnsi="Times New Roman"/>
          <w:sz w:val="17"/>
          <w:szCs w:val="17"/>
          <w:color w:val="auto"/>
        </w:rPr>
      </w:pPr>
    </w:p>
    <w:p>
      <w:pPr>
        <w:jc w:val="both"/>
        <w:ind w:left="444" w:right="300" w:firstLine="419"/>
        <w:spacing w:after="0" w:line="261" w:lineRule="auto"/>
        <w:tabs>
          <w:tab w:leader="none" w:pos="10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the Representatives on behalf of the Underwriters, it will not, and will not publicly disclose an intention to,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ind w:left="4" w:hanging="4"/>
        <w:spacing w:after="0" w:line="253"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ADSs, Ordinary Shares or any securities convertible into or exercisable or exchangeable for ADSs or Ordinary Shares (such other securities, including any received upon grant or vesting pursuant to a free share plan,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or (2) enter into any hedging, swap or other arrangement that transfers to another, in whole or in part,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4" w:name="page45"/>
    <w:bookmarkEnd w:id="44"/>
    <w:p>
      <w:pPr>
        <w:ind w:left="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economic consequences of ownership of the ADSs, Ordinary Shares or derivative securities, whether any such transaction described in clause (1) or (2) above is to be settled by delivery of ADSs, Ordinary Shares or derivative securities, in cash or otherwise or (3) file any registration statement with the Commission relating to the offering of any ADSs, Ordinary Shares or derivative securities.</w:t>
      </w:r>
    </w:p>
    <w:p>
      <w:pPr>
        <w:spacing w:after="0" w:line="176"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The restrictions contained in the preceding paragraph shall not apply to (A) the Securities to be sold hereunder and the Underlying Shares to be deposited with the Depositary in connection therewith, (B) the issuance by the Company of ADSs or Ordinary Shares upon the exercise of an option or warrant or the conversion of a security outstanding on the date hereof as described in each of the Time of Sale Prospectus, Prospectus and the Public Documents, (C) the issuance by the Company of ADSs or Ordinary Shares, or share options, free shares (</w:t>
      </w:r>
      <w:r>
        <w:rPr>
          <w:rFonts w:ascii="Times New Roman" w:cs="Times New Roman" w:eastAsia="Times New Roman" w:hAnsi="Times New Roman"/>
          <w:sz w:val="17"/>
          <w:szCs w:val="17"/>
          <w:i w:val="1"/>
          <w:iCs w:val="1"/>
          <w:color w:val="auto"/>
        </w:rPr>
        <w:t>actions gratuites</w:t>
      </w:r>
      <w:r>
        <w:rPr>
          <w:rFonts w:ascii="Times New Roman" w:cs="Times New Roman" w:eastAsia="Times New Roman" w:hAnsi="Times New Roman"/>
          <w:sz w:val="17"/>
          <w:szCs w:val="17"/>
          <w:color w:val="auto"/>
        </w:rPr>
        <w:t>) and warrants (including share warrants (BSA) and founder’s warrants (BSPCE)) to purchase ADSs or Ordinary Shares granted to employees, members of management or consultants, pursuant to existing shareholders’ authorizations of the Company referred to in the Registration Statement, the Time of Sale Prospectus, the Prospectus or the Public Documents, (D) facilitating the establishment of a trading plan on behalf of a shareholder, officer or director of the Company pursuant to Rule 10b5-1 under the Exchange Act (“</w:t>
      </w:r>
      <w:r>
        <w:rPr>
          <w:rFonts w:ascii="Times New Roman" w:cs="Times New Roman" w:eastAsia="Times New Roman" w:hAnsi="Times New Roman"/>
          <w:sz w:val="17"/>
          <w:szCs w:val="17"/>
          <w:b w:val="1"/>
          <w:bCs w:val="1"/>
          <w:color w:val="auto"/>
        </w:rPr>
        <w:t>10b5-1 Trading Plan</w:t>
      </w:r>
      <w:r>
        <w:rPr>
          <w:rFonts w:ascii="Times New Roman" w:cs="Times New Roman" w:eastAsia="Times New Roman" w:hAnsi="Times New Roman"/>
          <w:sz w:val="17"/>
          <w:szCs w:val="17"/>
          <w:color w:val="auto"/>
        </w:rPr>
        <w:t xml:space="preserve">”) for the transfer of ADSs or Ordinary Shares or the amendment of an existing 10b5-1 Trading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ADSs or Ordinary Shares during the Restricted Period and (ii) no public announcement or filing under the Exchange Act, the rules and regulations of the French Financial Markets Authority (</w:t>
      </w:r>
      <w:r>
        <w:rPr>
          <w:rFonts w:ascii="Times New Roman" w:cs="Times New Roman" w:eastAsia="Times New Roman" w:hAnsi="Times New Roman"/>
          <w:sz w:val="17"/>
          <w:szCs w:val="17"/>
          <w:i w:val="1"/>
          <w:iCs w:val="1"/>
          <w:color w:val="auto"/>
        </w:rPr>
        <w:t>Autorité des Marchés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Financiers</w:t>
      </w:r>
      <w:r>
        <w:rPr>
          <w:rFonts w:ascii="Times New Roman" w:cs="Times New Roman" w:eastAsia="Times New Roman" w:hAnsi="Times New Roman"/>
          <w:sz w:val="17"/>
          <w:szCs w:val="17"/>
          <w:color w:val="auto"/>
        </w:rPr>
        <w:t>) or otherwise shall be required of or voluntarily made by or on behalf of such individual or the Company regarding the establishment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amendment of such plan, (E) the entry into an agreement providing for the issuance by the Company of ADSs, Ordinary Shares or derivative securities in connection with the acquisition by the Company of the securities, business, technology, property or other assets of another person or entity, or pursuant to an employee benefit plan assumed by the Company in connection with such acquisition, and the issuance of any such securities pursuant to any such agreement, (F) the entry into any agreement providing for the issuance of ADSs, Ordinary Shares or derivative securities in connection with joint ventures, commercial relationships or other strategic transactions, and the issuance of any such securities pursuant to any such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in the case of clauses (E) and (F), the aggregate number of ADSs, Ordinary Shares or derivative securities that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may sell or issue or agree to sell or issue shall not exceed 5% of the total number of Ordinary Shares (including in the form of ADSs) issued and outstanding immediately following the completion of the transactions contemplated by this Agreement;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further, that in the case of clauses</w:t>
      </w:r>
    </w:p>
    <w:p>
      <w:pPr>
        <w:spacing w:after="0" w:line="208" w:lineRule="exact"/>
        <w:rPr>
          <w:sz w:val="20"/>
          <w:szCs w:val="20"/>
          <w:color w:val="auto"/>
        </w:rPr>
      </w:pPr>
    </w:p>
    <w:p>
      <w:pPr>
        <w:ind w:left="4" w:hanging="4"/>
        <w:spacing w:after="0" w:line="253" w:lineRule="auto"/>
        <w:tabs>
          <w:tab w:leader="none" w:pos="2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 the Company shall cause each recipient of such securities to execute and deliver to the Representatives, on or prior to the issuance of such securities, a lock-up agreement substantially on the same terms as the Lock-up Agreements referenced in Section 5(t) for the remainder of the Restricted Period and enter stop transfer instructions with the Company’s transfer agent and registrar for such securities, (G) the issuance by the Company of derivative securities under any undrawn tranches of the Company’s financing agreements that exist as of the date hereof with entities affiliated with Kreos Capital, Claret European Growth Capital and Heights Capital Management and any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45" w:name="page46"/>
    <w:bookmarkEnd w:id="45"/>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Ordinary Shares issuable upon the conversion or exercise of such derivative securities, as described in each of the Registration Statement, Time of Sale Prospectus, Prospectus and the Public Documents or (H) the issuance and sale of ADSs pursuant to the Company’s existing equity distribution agreement with Piper Sandler &amp; Co, provided that any such sales may only occur at least 30 days after the date of this Agreement.</w:t>
      </w:r>
    </w:p>
    <w:p>
      <w:pPr>
        <w:spacing w:after="0" w:line="174" w:lineRule="exact"/>
        <w:rPr>
          <w:sz w:val="20"/>
          <w:szCs w:val="20"/>
          <w:color w:val="auto"/>
        </w:rPr>
      </w:pPr>
    </w:p>
    <w:p>
      <w:pPr>
        <w:ind w:right="160" w:firstLine="436"/>
        <w:spacing w:after="0" w:line="267"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of the Securities Act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the Prospectus or any amendment or supplement thereto, the Public Documents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440" w:top="270" w:right="539" w:bottom="1440" w:gutter="0" w:footer="0" w:header="0"/>
        </w:sectPr>
      </w:pPr>
    </w:p>
    <w:bookmarkStart w:id="46" w:name="page47"/>
    <w:bookmarkEnd w:id="46"/>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prospectus, road show or the Prospectus or any amendment or supplement thereto, or any written Testing-the-Waters Communication;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only such information furnished by any Underwriter consists of the following information in the Prospectus furnished on behalf of each Underwriter: the information concerning stabilization by the Underwriters appearing in the sixteenth paragraph under the caption “Underwriting” in the Prospectus except for the fourth, seventh and ninth sentences of the paragraph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4" w:firstLine="419"/>
        <w:spacing w:after="0" w:line="268" w:lineRule="auto"/>
        <w:tabs>
          <w:tab w:leader="none" w:pos="67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reasonably incurred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4"/>
          </w:cols>
          <w:pgMar w:left="876" w:top="268" w:right="459" w:bottom="1440" w:gutter="0" w:footer="0" w:header="0"/>
        </w:sectPr>
      </w:pPr>
    </w:p>
    <w:bookmarkStart w:id="47" w:name="page48"/>
    <w:bookmarkEnd w:id="47"/>
    <w:p>
      <w:pPr>
        <w:ind w:firstLine="419"/>
        <w:spacing w:after="0" w:line="252"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commissions received by the Underwriters, in each case as set forth in the table on the cover of the Prospectus, bear to the aggregate Public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86" w:lineRule="exact"/>
        <w:rPr>
          <w:rFonts w:ascii="Times New Roman" w:cs="Times New Roman" w:eastAsia="Times New Roman" w:hAnsi="Times New Roman"/>
          <w:sz w:val="18"/>
          <w:szCs w:val="18"/>
          <w:color w:val="auto"/>
        </w:rPr>
      </w:pPr>
    </w:p>
    <w:p>
      <w:pPr>
        <w:ind w:right="20" w:firstLine="419"/>
        <w:spacing w:after="0" w:line="255"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48" w:name="page49"/>
    <w:bookmarkEnd w:id="48"/>
    <w:p>
      <w:pPr>
        <w:ind w:left="44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5" w:lineRule="exact"/>
        <w:rPr>
          <w:sz w:val="20"/>
          <w:szCs w:val="20"/>
          <w:color w:val="auto"/>
        </w:rPr>
      </w:pPr>
    </w:p>
    <w:p>
      <w:pPr>
        <w:ind w:left="440" w:right="360" w:firstLine="419"/>
        <w:spacing w:after="0" w:line="276" w:lineRule="auto"/>
        <w:tabs>
          <w:tab w:leader="none" w:pos="108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4" w:lineRule="exact"/>
        <w:rPr>
          <w:sz w:val="20"/>
          <w:szCs w:val="20"/>
          <w:color w:val="auto"/>
        </w:rPr>
      </w:pPr>
    </w:p>
    <w:p>
      <w:pPr>
        <w:ind w:right="20" w:firstLine="436"/>
        <w:spacing w:after="0" w:line="253"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or the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the Chicago Board of Trade or the Euronext, (ii) trading of any securities of the Company shall have been suspended on any exchange or in any over-the-counter market, (iii) a material disruption in securities settlement, payment or clearance services in the United States or with respect to Clearstream or Euroclear shall have occurred, (iv) any moratorium on commercial banking activities shall have been declared by U.S. federal, New York State, European Union or French authorities or (v) there shall have occurred any outbreak or escalation of hostilities, including war, or any change in financial markets, currency exchange rates or controls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on the Closing Date or the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49" w:name="page50"/>
    <w:bookmarkEnd w:id="4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Firm Securities set forth opposite their respective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bears to the aggregate number of Firm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the Option Closing Date, any Underwriter or Underwriters shall fail or refuse to purchase Additional Securities and the aggregate number of Additional Securities with respect to which such default occurs is more than one-tenth of the aggregate number of Additional Securities to be purchased on the Option Closing Date, the non-defaulting Underwriters shall have the option to (i) terminate their obligation hereunder to purchase the Additional Securities to be sold on the Option Closing Date or (ii) purchase not less than the number of Additional Securities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reasonably incurred out-of-pocket accountable expenses (including the reasonably incurred fees and disbursements of their legal counsel) actually incurred by such Underwriters in connection with this Agreement or the Offering contemplated hereunder.</w:t>
      </w:r>
    </w:p>
    <w:p>
      <w:pPr>
        <w:spacing w:after="0" w:line="181" w:lineRule="exact"/>
        <w:rPr>
          <w:sz w:val="20"/>
          <w:szCs w:val="20"/>
          <w:color w:val="auto"/>
        </w:rPr>
      </w:pPr>
    </w:p>
    <w:p>
      <w:pPr>
        <w:ind w:right="320" w:firstLine="436"/>
        <w:spacing w:after="0" w:line="284" w:lineRule="auto"/>
        <w:tabs>
          <w:tab w:leader="none" w:pos="7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Affiliates. </w:t>
      </w:r>
      <w:r>
        <w:rPr>
          <w:rFonts w:ascii="Times New Roman" w:cs="Times New Roman" w:eastAsia="Times New Roman" w:hAnsi="Times New Roman"/>
          <w:sz w:val="18"/>
          <w:szCs w:val="18"/>
          <w:color w:val="auto"/>
        </w:rPr>
        <w:t>The Underwriters may provide their services through or in conjunction with one or more of their affiliates, and references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the “Underwriters” shall, save where the context otherwise requires, include any such affiliates.</w:t>
      </w:r>
    </w:p>
    <w:p>
      <w:pPr>
        <w:spacing w:after="0" w:line="158"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0" w:name="page51"/>
    <w:bookmarkEnd w:id="50"/>
    <w:p>
      <w:pPr>
        <w:ind w:left="400" w:right="200" w:firstLine="419"/>
        <w:spacing w:after="0" w:line="273" w:lineRule="auto"/>
        <w:tabs>
          <w:tab w:leader="none" w:pos="107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169" w:lineRule="exact"/>
        <w:rPr>
          <w:rFonts w:ascii="Times New Roman" w:cs="Times New Roman" w:eastAsia="Times New Roman" w:hAnsi="Times New Roman"/>
          <w:sz w:val="17"/>
          <w:szCs w:val="17"/>
          <w:color w:val="auto"/>
        </w:rPr>
      </w:pPr>
    </w:p>
    <w:p>
      <w:pPr>
        <w:ind w:left="-40" w:right="60" w:firstLine="436"/>
        <w:spacing w:after="0" w:line="255" w:lineRule="auto"/>
        <w:tabs>
          <w:tab w:leader="none" w:pos="6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 (a) The Company irrevocably submits to the non-exclusive jurisdiction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State or United States Federal court sitting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Time of Sale Prospectus, the Prospectus, the Registration Statement or the offering of the Securities (each, a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78" w:lineRule="exact"/>
        <w:rPr>
          <w:rFonts w:ascii="Times New Roman" w:cs="Times New Roman" w:eastAsia="Times New Roman" w:hAnsi="Times New Roman"/>
          <w:sz w:val="18"/>
          <w:szCs w:val="18"/>
          <w:color w:val="auto"/>
        </w:rPr>
      </w:pPr>
    </w:p>
    <w:p>
      <w:pPr>
        <w:ind w:left="400" w:firstLine="419"/>
        <w:spacing w:after="0" w:line="256" w:lineRule="auto"/>
        <w:tabs>
          <w:tab w:leader="none" w:pos="10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appoints C T Corporation System, with offices at 1015 15th Street N.W., Suite 1000 Washington, D.C. 20005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80" w:top="270" w:right="499" w:bottom="1440" w:gutter="0" w:footer="0" w:header="0"/>
        </w:sectPr>
      </w:pPr>
    </w:p>
    <w:bookmarkStart w:id="51" w:name="page52"/>
    <w:bookmarkEnd w:id="51"/>
    <w:p>
      <w:pPr>
        <w:ind w:firstLine="436"/>
        <w:spacing w:after="0" w:line="253"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89" w:lineRule="exact"/>
        <w:rPr>
          <w:rFonts w:ascii="Times New Roman" w:cs="Times New Roman" w:eastAsia="Times New Roman" w:hAnsi="Times New Roman"/>
          <w:sz w:val="18"/>
          <w:szCs w:val="18"/>
          <w:color w:val="auto"/>
        </w:rPr>
      </w:pPr>
    </w:p>
    <w:p>
      <w:pPr>
        <w:ind w:right="140" w:firstLine="436"/>
        <w:spacing w:after="0" w:line="261"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68" w:right="439" w:bottom="1440" w:gutter="0" w:footer="0" w:header="0"/>
        </w:sectPr>
      </w:pPr>
    </w:p>
    <w:bookmarkStart w:id="52" w:name="page53"/>
    <w:bookmarkEnd w:id="52"/>
    <w:p>
      <w:pPr>
        <w:ind w:left="-20" w:right="40" w:firstLine="436"/>
        <w:spacing w:after="0" w:line="258" w:lineRule="auto"/>
        <w:tabs>
          <w:tab w:leader="none" w:pos="6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signed in two or more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deemed to be an original, but all such counterparts shall together constitute one and the same agreement. Counterparts may be delivered via facsimile, electronic mail (including any electronic signature covered by the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MIFIDII</w:t>
      </w:r>
      <w:r>
        <w:rPr>
          <w:rFonts w:ascii="Times New Roman" w:cs="Times New Roman" w:eastAsia="Times New Roman" w:hAnsi="Times New Roman"/>
          <w:sz w:val="18"/>
          <w:szCs w:val="18"/>
          <w:color w:val="auto"/>
        </w:rPr>
        <w:t>. Solely for the purposes of the requirements of Article 9(8) of EU Delegated Directive 2017/593 (the “</w:t>
      </w:r>
      <w:r>
        <w:rPr>
          <w:rFonts w:ascii="Times New Roman" w:cs="Times New Roman" w:eastAsia="Times New Roman" w:hAnsi="Times New Roman"/>
          <w:sz w:val="18"/>
          <w:szCs w:val="18"/>
          <w:b w:val="1"/>
          <w:bCs w:val="1"/>
          <w:color w:val="auto"/>
        </w:rPr>
        <w:t>Product Governance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mutual responsibilities of manufacturers under the Product Governance Rules, (i) each manufacturer acknowledges to each other manufacturer that it understands the responsibilities conferred upon it under the Product Governance Rules relating to each of the product approval process, the target market and the eligible distribution channels for dissemination of the Securities and the related information set out in the in connection with the Securities; and (ii) the Underwriters and the Company note the application of the Product Governance Rules and acknowledge the target market and distribution channels identified as applying to the Securities by the manufacturers and the related information set out in the Prospectus in connection with the Securities.</w:t>
      </w:r>
    </w:p>
    <w:p>
      <w:pPr>
        <w:spacing w:after="0" w:line="184"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left="-20" w:right="40" w:firstLine="436"/>
        <w:spacing w:after="0" w:line="284" w:lineRule="auto"/>
        <w:tabs>
          <w:tab w:leader="none" w:pos="6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left="-20" w:firstLine="436"/>
        <w:spacing w:after="0" w:line="236" w:lineRule="auto"/>
        <w:tabs>
          <w:tab w:leader="none" w:pos="6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Representatives at Leerink Partners LLC, 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 Attention: Stuart R. Nayman, at Piper Sandler &amp; Co., 1251 Avenue of the Americas, 6th Floor New York, New York 10020, to the attention of Equity Capital Markets and separately, General Counsel and at Guggenheim Securities, LLC, Attention: Equity Syndicate Department, 330 Madison Avenue, 8th Floor, New York, NY 10017; and if to the Company shall be delivered, mailed or sent to Abivax SA, 7-11 Boulevard Haussmann 75009 Paris, France, Attention: Didier Blondel, Chief Financial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60" w:top="268" w:right="459" w:bottom="1440" w:gutter="0" w:footer="0" w:header="0"/>
        </w:sectPr>
      </w:pPr>
    </w:p>
    <w:bookmarkStart w:id="53" w:name="page54"/>
    <w:bookmarkEnd w:id="5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Abivax SA</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Marc de Garidel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Gabriel P. Cavazos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Chad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Guggenheim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Ronald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Ronald Gerber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gridSpan w:val="3"/>
          </w:tcPr>
          <w:p>
            <w:pPr>
              <w:jc w:val="center"/>
              <w:ind w:left="587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7"/>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10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6000" w:type="dxa"/>
            <w:vAlign w:val="bottom"/>
          </w:tcPr>
          <w:p>
            <w:pPr>
              <w:spacing w:after="0"/>
              <w:rPr>
                <w:sz w:val="15"/>
                <w:szCs w:val="15"/>
                <w:color w:val="auto"/>
              </w:rPr>
            </w:pP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Leerink Partners LLC</w:t>
            </w:r>
          </w:p>
        </w:tc>
        <w:tc>
          <w:tcPr>
            <w:tcW w:w="60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3,757,720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2,437,440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7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1,929,640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7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812,480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7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609,360</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 Lanschot Kempen (USA) Inc.</w:t>
            </w:r>
          </w:p>
        </w:tc>
        <w:tc>
          <w:tcPr>
            <w:tcW w:w="60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8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July 23,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dated July 23, 2025 filed by the Company under Rule 433(d) of the Securities Act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dated July 24, 2025 to be filed by the Company under Rule 433(d) of the Securities Act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 orally communicated by the Underwriters: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Firm Securities: 10,156,000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Securities: 1,523,400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Public: $64.00 per shares of the Securities</w:t>
      </w:r>
    </w:p>
    <w:p>
      <w:pPr>
        <w:sectPr>
          <w:pgSz w:w="11900" w:h="16838" w:orient="portrait"/>
          <w:cols w:equalWidth="0" w:num="1">
            <w:col w:w="11024"/>
          </w:cols>
          <w:pgMar w:left="436" w:top="266"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w:t>
      </w:r>
    </w:p>
    <w:p>
      <w:pPr>
        <w:spacing w:after="0" w:line="256"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in Schedule I to the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1301 Avenue of the Americas</w:t>
      </w:r>
    </w:p>
    <w:p>
      <w:pPr>
        <w:ind w:left="440"/>
        <w:spacing w:after="0" w:line="181"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1251 Avenue of the Americas</w:t>
      </w:r>
    </w:p>
    <w:p>
      <w:pPr>
        <w:ind w:left="440"/>
        <w:spacing w:after="0" w:line="181" w:lineRule="auto"/>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Leerink Partners LLC (“</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Guggenheim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LLC (“</w:t>
      </w:r>
      <w:r>
        <w:rPr>
          <w:rFonts w:ascii="Times New Roman" w:cs="Times New Roman" w:eastAsia="Times New Roman" w:hAnsi="Times New Roman"/>
          <w:sz w:val="18"/>
          <w:szCs w:val="18"/>
          <w:b w:val="1"/>
          <w:bCs w:val="1"/>
          <w:color w:val="auto"/>
        </w:rPr>
        <w:t>Guggenheim Securities</w:t>
      </w:r>
      <w:r>
        <w:rPr>
          <w:rFonts w:ascii="Times New Roman" w:cs="Times New Roman" w:eastAsia="Times New Roman" w:hAnsi="Times New Roman"/>
          <w:sz w:val="18"/>
          <w:szCs w:val="18"/>
          <w:color w:val="auto"/>
        </w:rPr>
        <w:t>”, and together with Leerink Partners and Piper Sandler,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on behalf of the several Underwriters named in such agreement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xml:space="preserve">”) with 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French Republic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of ordinary shares, par value €0.01 per share, of the Company (the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s”) in the form of American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induce the Underwriters that may participate in the Public Offering to continue their efforts in connection with the Public Offering,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hereby agrees that, without the prior written consent of the Representatives on behalf of the Underwriters, it will not, and will not publicly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 an intention to, during the period commencing on the date hereof and ending 60 days after the date of the final prospectus supplement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any option or contract to sell, grant any option, right or warrant to purchase, lend, or otherwise transfer or dispose of, directly or indirectly,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or Ordinary Shares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by the undersigned or any other securities so owned convertible into or exercisable or exchangeable or redeemable for ADSs or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securities, including any received upon grant or vesting pursuant to a free share plan,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or (2) enter into any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swap or other arrangement that transfers to another, in whole or in part, any of the economic consequences of ownership of the ADSs or Ordinary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Derivative Securities, whether any such transaction described in clause (1) or (2) above is to be settled by delivery of ADSs, Ordinary Shares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Securities, in cash or otherwise.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sentence shall not apply to:</w:t>
      </w:r>
    </w:p>
    <w:p>
      <w:pPr>
        <w:spacing w:after="0" w:line="131" w:lineRule="exact"/>
        <w:rPr>
          <w:sz w:val="20"/>
          <w:szCs w:val="20"/>
          <w:color w:val="auto"/>
        </w:rPr>
      </w:pPr>
    </w:p>
    <w:p>
      <w:pPr>
        <w:ind w:left="960" w:right="100" w:hanging="532"/>
        <w:spacing w:after="0" w:line="258"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ADSs, Ordinary Shares or Derivative Securities acquired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shall be required or shall be voluntarily made in connection with subsequent sales of ADSs, Ordinary Shares or Derivative Securities acquired in such open market transactions;</w:t>
      </w:r>
    </w:p>
    <w:p>
      <w:pPr>
        <w:spacing w:after="0" w:line="86"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ADSs, Ordinary Shares or Derivative Securities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(ii) to any trust for the direct or indirect benefit of the undersigned or the immediate family of the undersigned, (iii) as a distribution or other transfer by a partnership to its partners or former partners or by a limited liability company to its members or retired members or by a corporation to its shareholders or former shareholders or to any wholly-owned subsidiary of such corporation, (iv) to the undersigned’s affiliates or to any investment fund or other entity controlled or managed by the undersigned, (v) pursuant to a qualified domestic relations order or in connection with a divorce settlement, or (vi) by will or intestate succession or intestate distribution upon the death of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pursuant to this clause (b), (A) each donee, trustee, distributee or other transferee shall sign and deliver a lock-up agreement substantially in the form of this agreement for the balance of the Restricted Period, (B) such transfer shall not involve a disposition for value and (C)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reporting a reduction in beneficial ownership of ADSs or Ordinary Shares, shall be required or shall be voluntarily made during the Restricted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0" w:name="page61"/>
    <w:bookmarkEnd w:id="60"/>
    <w:p>
      <w:pPr>
        <w:ind w:left="540" w:right="60" w:hanging="532"/>
        <w:spacing w:after="0" w:line="255"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surrender of Ordinary Shares to the Depositary (as defined in the Underwriting Agreement) or the Depositary’s custodian, for the purpose of receiving an equivalent number of ADSs in lieu of such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ADSs received by the undersigned shall remain subject to the restrictions on transfer set forth in this agreement, (ii) any such surrender shall not involve a disposition for value and (iii)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reporting a reduction in beneficial ownership of ADSs, shall be required or shall be voluntarily made during the Restricted Period;</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ADSs, Ordinary Shares or Derivative Securities to the Company in satisfaction of any tax withholding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jc w:val="both"/>
        <w:ind w:left="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such transfer shall not involve a disposition for value and (ii) no filing under Section 16(a) of the Exchange Act or other applicable law (in particular Article L. 621-18-2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Article 223-23 of the General Regulation of the French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reporting a reduction in beneficial ownership of ADSs or Ordinary Shares, shall be required or shall be voluntarily made during the Restricted Period;</w:t>
      </w:r>
    </w:p>
    <w:p>
      <w:pPr>
        <w:spacing w:after="0" w:line="94" w:lineRule="exact"/>
        <w:rPr>
          <w:rFonts w:ascii="Times New Roman" w:cs="Times New Roman" w:eastAsia="Times New Roman" w:hAnsi="Times New Roman"/>
          <w:sz w:val="18"/>
          <w:szCs w:val="18"/>
          <w:color w:val="auto"/>
        </w:rPr>
      </w:pPr>
    </w:p>
    <w:p>
      <w:pPr>
        <w:ind w:left="540" w:right="80" w:hanging="532"/>
        <w:spacing w:after="0" w:line="254"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sales of up to 1,000,000 ADSs or Ordinary Shares (in the aggregate for all of the Company’s directors, officers and affiliates) used for the primary purpose of satisfying any withholding tax or other governmental withholding or payment obligation, through cashless surrender or otherwise, in all such cases, pursuant to equity awards granted under a share incentive plan or other equity award plan that is described in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undersigned does not voluntarily effect any public filing or report regarding any such transfer or sale, (ii) no public announcement or filing under Section 16(a) of the Exchange Act, reporting a reduction in beneficial ownership of ADSs or Ordinary Shares, shall be required during the Restricted Period, and (iii) if any public announcement, filing or disclosure reporting a reduction in beneficial ownership of ADSs or Ordinary Shares is required by any applicable laws, other than those required by the Exchange Act, the undersigned shall include a statement in such report to the effect that the disposition relates to the satisfaction of withholding tax or other governmental withholding or payment obligation;</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00"/>
          </w:cols>
          <w:pgMar w:left="860" w:top="270" w:right="439" w:bottom="1440" w:gutter="0" w:footer="0" w:header="0"/>
        </w:sectPr>
      </w:pPr>
    </w:p>
    <w:bookmarkStart w:id="61" w:name="page62"/>
    <w:bookmarkEnd w:id="61"/>
    <w:p>
      <w:pPr>
        <w:ind w:left="540" w:right="40" w:hanging="532"/>
        <w:spacing w:after="0" w:line="25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transfers of ADSs, Ordinary Shares or Derivative Securities to the Company pursuant to any contractual arrangement in effect on the date of this agreement that provides for the repurchase of the ADSs, Ordinary Shares or Derivative Securities held by the undersigned by the Company in connection with the termination of the undersigned’s services to the Company or the undersigned’s failure to meet certain conditions set out upon receipt of such ADSs, Ordinary Shares or Derivative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public announcement or filing shall be required in connection with any such transfer, such announcement or filing shall clearly indicate in the footnotes thereto that the securities were repurchased or reacquired by the Company pursuant to such repurchase right;</w:t>
      </w:r>
    </w:p>
    <w:p>
      <w:pPr>
        <w:spacing w:after="0" w:line="92" w:lineRule="exact"/>
        <w:rPr>
          <w:rFonts w:ascii="Times New Roman" w:cs="Times New Roman" w:eastAsia="Times New Roman" w:hAnsi="Times New Roman"/>
          <w:sz w:val="18"/>
          <w:szCs w:val="18"/>
          <w:color w:val="auto"/>
        </w:rPr>
      </w:pPr>
    </w:p>
    <w:p>
      <w:pPr>
        <w:ind w:left="540" w:right="40" w:hanging="532"/>
        <w:spacing w:after="0" w:line="254"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or exchange by the undersigned of any option or warrant to acquire any ADSs or Ordinary Shares or options to purchase ADSs or Ordinary Shares, in each case for cash or on a “cashless” or “net exercise” basis, pursuant to any share option, share bonus or other share plan or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underlying ADSs and Ordinary Shares shall continue to be subject to the restrictions on transfer set forth in this agreement and (ii) if any public announcement or filing under the rules and regulations of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and/or the French Financial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or otherwise shall be required in connection with such exercise or exchange, such announcement or filing shall clearly indicate in the footnotes thereto that it relates to the conversion of a convertible security into, or the exercise of any option or warrant for, the Ordinary Shares or ADSs, that no Ordinary Shares or ADSs were sold by the reporting person and that the Ordinary Shares or ADSs received upon such conversion or exercise are subject to a lock-up agreement;</w:t>
      </w:r>
    </w:p>
    <w:p>
      <w:pPr>
        <w:spacing w:after="0" w:line="91"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ADSs, Ordinary Shares or Derivative Securities upon the completion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consolidation or other similar transaction that is approved by the board of directors of the Company, made to all holders of the Company’s securities and involves a change of control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restrictions on transfer set forth in this agreement; or</w:t>
      </w:r>
    </w:p>
    <w:p>
      <w:pPr>
        <w:spacing w:after="0" w:line="90" w:lineRule="exact"/>
        <w:rPr>
          <w:rFonts w:ascii="Times New Roman" w:cs="Times New Roman" w:eastAsia="Times New Roman" w:hAnsi="Times New Roman"/>
          <w:sz w:val="18"/>
          <w:szCs w:val="18"/>
          <w:color w:val="auto"/>
        </w:rPr>
      </w:pPr>
    </w:p>
    <w:p>
      <w:pPr>
        <w:ind w:left="540" w:right="140" w:hanging="532"/>
        <w:spacing w:after="0" w:line="25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shareholder, officer or director of the Company pursuant to Rule 10b5-1 under the Exchange Act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xml:space="preserve">”) for the transfer of ADSs or Ordinary Shares or the amendment of an existing 10b5-1 Trading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ADSs or Ordinary Shares during the Restricted Period and (ii) no public announcement or filing under the Exchange Act, the rules and regulations of the French Financial Markets Authority (</w:t>
      </w:r>
      <w:r>
        <w:rPr>
          <w:rFonts w:ascii="Times New Roman" w:cs="Times New Roman" w:eastAsia="Times New Roman" w:hAnsi="Times New Roman"/>
          <w:sz w:val="18"/>
          <w:szCs w:val="18"/>
          <w:i w:val="1"/>
          <w:iCs w:val="1"/>
          <w:color w:val="auto"/>
        </w:rPr>
        <w:t>Autorité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Marchés Financiers</w:t>
      </w:r>
      <w:r>
        <w:rPr>
          <w:rFonts w:ascii="Times New Roman" w:cs="Times New Roman" w:eastAsia="Times New Roman" w:hAnsi="Times New Roman"/>
          <w:sz w:val="18"/>
          <w:szCs w:val="18"/>
          <w:color w:val="auto"/>
        </w:rPr>
        <w:t>) or otherwise shall be required of or voluntarily made by or on behalf of the undersigned or the Company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establishment or amendment of such plan.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62" w:name="page63"/>
    <w:bookmarkEnd w:id="62"/>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“immediate family” shall mean any relationship by blood, domestic partnership, marriage or adoption, not more remote than first cousin, and “change of control” shall mean the transfer (whether by tender offer, merger, consolidation or other similar transaction), in one transaction or a series of related transactions, to a person or group of affiliated persons, of share capital if, after such transfer, such person or group of affiliated persons would hold at least a majority of the outstanding voting securities of the Company (or the surviving entity).</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ADSs, Ordinary Shares or any Derivative Securities. The undersigned also agrees and consents to the entry of stop transfer instructions with the Company’s transfer agent and registrar against the transfer of the undersigned’s ADSs and Ordinary Shares except in compliance with the foregoing restrictions.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ADSs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ADSs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Underwriting Agreement is executed but is terminated prior to the closing of the Public Offering (other than the provisions thereof which survive termination), or (iii) September 30, 2025, in the event that the Underwriting Agreement has not been executed by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by written notice to the undersigned prior to September 30, 2025 extend such date for a period of up to an additional three months).</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63" w:name="page64"/>
    <w:bookmarkEnd w:id="6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consents to receipt of this agreement in electronic form and understand and agree that this agreement may be signed electronically. If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440" w:top="270"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AN INDIVIDUAL: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-502285</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2">
            <w:col w:w="5120" w:space="720"/>
            <w:col w:w="4179"/>
          </w:cols>
          <w:pgMar w:left="440" w:top="270"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CHIEF FINANCIAL OFFICER’S CERTIFICATE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-7620</wp:posOffset>
            </wp:positionV>
            <wp:extent cx="6858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3"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 Didier Blondel, do hereby certify that I am the Chief Financial Officer of 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French Republic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solely in my capacity as such, and not in my personal capacity, and based upon an examination of the Company’s consolidated financial records, schedules and other books, records and systems undertaken by myself or members of my staff who are responsible for the Company’s financial and accounting matters, do, as of the date hereof, hereby certify that:</w:t>
      </w:r>
    </w:p>
    <w:p>
      <w:pPr>
        <w:spacing w:after="0" w:line="83" w:lineRule="exact"/>
        <w:rPr>
          <w:sz w:val="20"/>
          <w:szCs w:val="20"/>
          <w:color w:val="auto"/>
        </w:rPr>
      </w:pPr>
    </w:p>
    <w:p>
      <w:pPr>
        <w:ind w:left="960" w:right="220" w:hanging="532"/>
        <w:spacing w:after="0" w:line="26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providing this certificate in connection with the Company’s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10,156,000 American Depositary Shares, each representing one ordinary share, par value €0.01 per share, pursuant to an underwriting agreement, dated July 23, 2025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by and among the Company and Leerink Partners LLC, Piper Sandler &amp; Co. and Guggenheim Securities, LLC, as representatives of the several underwriters named in Schedule I 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familiar with the internal accounting records of the Company and its consolidated subsidiary and am responsible for financial and accounting matters with respect to the Company and its consolidated subsidiary.</w:t>
      </w:r>
    </w:p>
    <w:p>
      <w:pPr>
        <w:spacing w:after="0" w:line="67"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(i) read the Registration Statement in connection with the Offering, (ii) read the Time of Sale Prospectus and (iii) reviewed the circled items contained in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Covered Information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preparation of the Registration Statement and the Time of Sale Prospectus, I or members of my staff who are responsible for the Company’s financial and accounting matters have reviewed the Covered Information and have compared the Covered Information to the Company’s accounting books and records and found the Covered Information to be in agreement with, or derived from, the corresponding information in such accounting books and records in all material respects for the periods indicated.</w:t>
      </w:r>
    </w:p>
    <w:p>
      <w:pPr>
        <w:spacing w:after="0" w:line="85" w:lineRule="exact"/>
        <w:rPr>
          <w:rFonts w:ascii="Times New Roman" w:cs="Times New Roman" w:eastAsia="Times New Roman" w:hAnsi="Times New Roman"/>
          <w:sz w:val="18"/>
          <w:szCs w:val="18"/>
          <w:color w:val="auto"/>
        </w:rPr>
      </w:pPr>
    </w:p>
    <w:p>
      <w:pPr>
        <w:jc w:val="both"/>
        <w:ind w:left="960" w:right="20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my attention that causes me to believe that (i) any of the Covered Information is not true, correct and accurate in all material respects for the periods indicated or (ii) the assumptions used to determine any of the Covered Information were not reasonable.</w:t>
      </w:r>
    </w:p>
    <w:p>
      <w:pPr>
        <w:spacing w:after="0" w:line="162"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such terms in the Underwriting Agreement. This certificate is being furnished to the Underwriters pursuant to Section 5(u) of the Underwriting Agreement to assist them in conducting their investigation of the Company in connection with the Offering. This certificate may be relied upon by the Underwriters for such purpose. Each of Latham &amp; Watkins LLP and Cooley LLP is entitled to rely on this certificate in connection with the legal opinions and letters that each such firm is rendering pursuant to the Underwriting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66" w:name="page67"/>
    <w:bookmarkEnd w:id="6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executed and delivered this Chief Financial Officer’s Certificate on behalf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 his personal capacity,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Didier Blondel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440" w:top="266" w:right="5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24, 2025</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Abivax S.A.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7-11 boulevard Haussmann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75009 Paris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France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 xml:space="preserve">We are acting as special French counsel to Abivax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 of France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offering and sale by the Company of 10,156,000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which represent 10,156,000 ordinary shares of the Company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with a par value of €0.01 per ordinary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which number may be increased by up to 1,523,400 additional Ordinary Shares delivered in the form of ADSs (the “</w:t>
      </w:r>
      <w:r>
        <w:rPr>
          <w:rFonts w:ascii="Times New Roman" w:cs="Times New Roman" w:eastAsia="Times New Roman" w:hAnsi="Times New Roman"/>
          <w:sz w:val="18"/>
          <w:szCs w:val="18"/>
          <w:b w:val="1"/>
          <w:bCs w:val="1"/>
          <w:color w:val="auto"/>
        </w:rPr>
        <w:t>Additional New Shares</w:t>
      </w:r>
      <w:r>
        <w:rPr>
          <w:rFonts w:ascii="Times New Roman" w:cs="Times New Roman" w:eastAsia="Times New Roman" w:hAnsi="Times New Roman"/>
          <w:sz w:val="18"/>
          <w:szCs w:val="18"/>
          <w:color w:val="auto"/>
        </w:rPr>
        <w:t>” and together with the New Shares,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ADSs,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pursuant to the Underwriting Agreement, dated July 23, 2025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by and among the Company and Leerink Partners LLC, Piper Sandler &amp; Co. and Guggenheim Securities, LLC for themselves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the other underwriters named therein.</w:t>
      </w:r>
    </w:p>
    <w:p>
      <w:pPr>
        <w:spacing w:after="0" w:line="187" w:lineRule="exact"/>
        <w:rPr>
          <w:sz w:val="20"/>
          <w:szCs w:val="20"/>
          <w:color w:val="auto"/>
        </w:rPr>
      </w:pPr>
    </w:p>
    <w:p>
      <w:pPr>
        <w:jc w:val="both"/>
        <w:ind w:left="4" w:right="300"/>
        <w:spacing w:after="0" w:line="261" w:lineRule="auto"/>
        <w:rPr>
          <w:sz w:val="20"/>
          <w:szCs w:val="20"/>
          <w:color w:val="auto"/>
        </w:rPr>
      </w:pPr>
      <w:r>
        <w:rPr>
          <w:rFonts w:ascii="Times New Roman" w:cs="Times New Roman" w:eastAsia="Times New Roman" w:hAnsi="Times New Roman"/>
          <w:sz w:val="18"/>
          <w:szCs w:val="18"/>
          <w:color w:val="auto"/>
        </w:rPr>
        <w:t>In rendering the opinion expressed below, we have examined and relied on originals or copies, certified or otherwise identified to our satisfaction, of such agreements, corporate records and other instruments and such documents, certificates and receipts of public officials, certificates of officers and other representatives of the Company and others, and such other documents as we have deemed necessary or appropriate as a basis for rendering the opinion set forth below, including the following documents:</w:t>
      </w:r>
    </w:p>
    <w:p>
      <w:pPr>
        <w:spacing w:after="0" w:line="85" w:lineRule="exact"/>
        <w:rPr>
          <w:sz w:val="20"/>
          <w:szCs w:val="20"/>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F-3ASR (Registration No 333-288884) with respect to the Offered Securities filed by the Company on</w:t>
      </w:r>
    </w:p>
    <w:p>
      <w:pPr>
        <w:spacing w:after="0" w:line="27" w:lineRule="exact"/>
        <w:rPr>
          <w:rFonts w:ascii="Times New Roman" w:cs="Times New Roman" w:eastAsia="Times New Roman" w:hAnsi="Times New Roman"/>
          <w:sz w:val="18"/>
          <w:szCs w:val="18"/>
          <w:color w:val="auto"/>
        </w:rPr>
      </w:pPr>
    </w:p>
    <w:p>
      <w:pPr>
        <w:ind w:left="54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23, 2025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(such registration statement, as amended, including information deemed to be a part of such registration statement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pursuant to Rule 430B promulgated under the Securities Act, being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left="544" w:right="460" w:hanging="544"/>
        <w:spacing w:after="0" w:line="282" w:lineRule="auto"/>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to the base Registration Statement relating to the Offered Securities dated July 23, 2025 filed by the Company with the Commission under the Securities Act pursuant to Rule 424(b)(5);</w:t>
      </w:r>
    </w:p>
    <w:p>
      <w:pPr>
        <w:spacing w:after="0" w:line="67" w:lineRule="exact"/>
        <w:rPr>
          <w:rFonts w:ascii="Times New Roman" w:cs="Times New Roman" w:eastAsia="Times New Roman" w:hAnsi="Times New Roman"/>
          <w:sz w:val="18"/>
          <w:szCs w:val="18"/>
          <w:color w:val="auto"/>
        </w:rPr>
      </w:pPr>
    </w:p>
    <w:p>
      <w:pPr>
        <w:ind w:left="544" w:right="60" w:hanging="544"/>
        <w:spacing w:after="0" w:line="282" w:lineRule="auto"/>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supplement, as filed on July 24, 2025 with the Commission pursuant to Rule 424(b)(5) promulgated under the Securities Act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w:t>
      </w:r>
    </w:p>
    <w:p>
      <w:pPr>
        <w:spacing w:after="0" w:line="130" w:lineRule="exact"/>
        <w:rPr>
          <w:rFonts w:ascii="Times New Roman" w:cs="Times New Roman" w:eastAsia="Times New Roman" w:hAnsi="Times New Roman"/>
          <w:sz w:val="18"/>
          <w:szCs w:val="18"/>
          <w:color w:val="auto"/>
        </w:rPr>
      </w:pPr>
    </w:p>
    <w:p>
      <w:pPr>
        <w:ind w:left="544" w:right="420" w:hanging="544"/>
        <w:spacing w:after="0" w:line="266" w:lineRule="auto"/>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deposit agreement entered into on October 24, 2023 by and among the Company, Citibank,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all Holders and Beneficial Owners of ADSs issued thereunder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and, together with the Underwriting Agreement,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Extrait K-bis</w:t>
      </w:r>
      <w:r>
        <w:rPr>
          <w:rFonts w:ascii="Times New Roman" w:cs="Times New Roman" w:eastAsia="Times New Roman" w:hAnsi="Times New Roman"/>
          <w:sz w:val="18"/>
          <w:szCs w:val="18"/>
          <w:color w:val="auto"/>
        </w:rPr>
        <w:t xml:space="preserve"> of the Company delivered by the clerk of the Commercial Court of Paris, dated July 23, 2025 (the “</w:t>
      </w:r>
      <w:r>
        <w:rPr>
          <w:rFonts w:ascii="Times New Roman" w:cs="Times New Roman" w:eastAsia="Times New Roman" w:hAnsi="Times New Roman"/>
          <w:sz w:val="18"/>
          <w:szCs w:val="18"/>
          <w:b w:val="1"/>
          <w:bCs w:val="1"/>
          <w:color w:val="auto"/>
        </w:rPr>
        <w:t>K-Bis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right="180" w:hanging="544"/>
        <w:spacing w:after="0" w:line="284" w:lineRule="auto"/>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Certificat en matière de procédures collectives</w:t>
      </w:r>
      <w:r>
        <w:rPr>
          <w:rFonts w:ascii="Times New Roman" w:cs="Times New Roman" w:eastAsia="Times New Roman" w:hAnsi="Times New Roman"/>
          <w:sz w:val="18"/>
          <w:szCs w:val="18"/>
          <w:color w:val="auto"/>
        </w:rPr>
        <w:t xml:space="preserve"> for the Company delivered by the clerk of the Commercial Court of Paris, dated July 24, 2025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544" w:right="480" w:hanging="544"/>
        <w:spacing w:after="0" w:line="284" w:lineRule="auto"/>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Etat de Privilèges et des Nantissements</w:t>
      </w:r>
      <w:r>
        <w:rPr>
          <w:rFonts w:ascii="Times New Roman" w:cs="Times New Roman" w:eastAsia="Times New Roman" w:hAnsi="Times New Roman"/>
          <w:sz w:val="18"/>
          <w:szCs w:val="18"/>
          <w:color w:val="auto"/>
        </w:rPr>
        <w:t xml:space="preserve"> (Security report (Preferential rights and Pledges) issued by the </w:t>
      </w:r>
      <w:r>
        <w:rPr>
          <w:rFonts w:ascii="Times New Roman" w:cs="Times New Roman" w:eastAsia="Times New Roman" w:hAnsi="Times New Roman"/>
          <w:sz w:val="18"/>
          <w:szCs w:val="18"/>
          <w:i w:val="1"/>
          <w:iCs w:val="1"/>
          <w:color w:val="auto"/>
        </w:rPr>
        <w:t>Greffe du Tribunal de Commerce</w:t>
      </w:r>
      <w:r>
        <w:rPr>
          <w:rFonts w:ascii="Times New Roman" w:cs="Times New Roman" w:eastAsia="Times New Roman" w:hAnsi="Times New Roman"/>
          <w:sz w:val="18"/>
          <w:szCs w:val="18"/>
          <w:color w:val="auto"/>
        </w:rPr>
        <w:t xml:space="preserve"> (Registrar of the Commercial Court) of Paris in respect of the Company dated July 23, 2025;</w:t>
      </w:r>
    </w:p>
    <w:p>
      <w:pPr>
        <w:spacing w:after="0" w:line="6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of the Company updated as of June 24, 2025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21" w:right="439" w:bottom="1440" w:gutter="0" w:footer="0" w:header="0"/>
        </w:sectPr>
      </w:pPr>
    </w:p>
    <w:bookmarkStart w:id="68" w:name="page69"/>
    <w:bookmarkEnd w:id="68"/>
    <w:p>
      <w:pPr>
        <w:ind w:left="544" w:hanging="544"/>
        <w:spacing w:after="0"/>
        <w:tabs>
          <w:tab w:leader="none" w:pos="5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minutes of the resolutions of the shareholders’ meeting of the Company dated June 6, 2025;</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decisions of the board of directors of the Company dated July 20, 2025;</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CEO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dated July 23, 2025; and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the CEO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dated July 24, 2025;</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Examined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to the facts upon which this opinion is based, we have relied, with your consent, upon the foregoing and upon certificates of public officials and certificates and written statements (including the representations and warranties made in the Transaction Documents) of officers, management board members, members of the board of directors, employees and representatives of, and accountants and auditors for, the Company, and the due performance by the parties of their respective obligations set forth in the Transaction Documents, and we have assumed, in this regard, the truthfulness of such representations. We have not independently established the facts so relied on.</w:t>
      </w:r>
    </w:p>
    <w:p>
      <w:pPr>
        <w:spacing w:after="0" w:line="183"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In our examination, we have assumed the genuineness of all signatures, the authenticity of all documents submitted to us as original documents and the conformity to original documents of all documents submitted to us as copies. In addition, we have assumed that (i) all natural persons who are signatories to the Transaction Documents have the legal capacity and competence to enter into and perform their respective obligations under the Transaction Documents; (ii) each of the parties to the Transaction Documents (other than the Company) is duly organized, validly existing and in good standing under the laws of the jurisdiction of its organization; (iii) each of the parties to the Transaction Documents (other than the Company) has the requisite power and authority and has taken the legal action necessary to enter into and perform all of its respective obligations thereunder and to consummate the transactions contemplated thereby; (iv) the Transaction Documents have been duly authorized, executed and delivered by each of the parties thereto (other than the Company); (v) the offering restrictions contained in the Underwriting Agreement and the Prospectus Supplement have been and will be complied with; (vi) the Underwriting Agreement constitutes a valid, binding and enforceable obligation of each party thereto under all applicable laws, in particular the laws of the State of New York by which they are expressed to be governed; (vii) all required authorizations of any kind (including corporate, legal, regulatory, governmental, contractual, etc.), other than with respect to the Company, have been validly and unconditionally obtained by any appropriate means by each signatory, and were valid under the laws that govern its legal existence; (viii) that the execution of the Transaction Documents by the Company and the performance of its obligations thereunder was serving their corporate interests (</w:t>
      </w:r>
      <w:r>
        <w:rPr>
          <w:rFonts w:ascii="Times New Roman" w:cs="Times New Roman" w:eastAsia="Times New Roman" w:hAnsi="Times New Roman"/>
          <w:sz w:val="17"/>
          <w:szCs w:val="17"/>
          <w:i w:val="1"/>
          <w:iCs w:val="1"/>
          <w:color w:val="auto"/>
        </w:rPr>
        <w:t>conforme à son intérêt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social</w:t>
      </w:r>
      <w:r>
        <w:rPr>
          <w:rFonts w:ascii="Times New Roman" w:cs="Times New Roman" w:eastAsia="Times New Roman" w:hAnsi="Times New Roman"/>
          <w:sz w:val="17"/>
          <w:szCs w:val="17"/>
          <w:color w:val="auto"/>
        </w:rPr>
        <w:t>); and (ix) that no decision, proceedings, filing or request relating to any proceedings set out in Book VI of the French Commercial code (</w:t>
      </w:r>
      <w:r>
        <w:rPr>
          <w:rFonts w:ascii="Times New Roman" w:cs="Times New Roman" w:eastAsia="Times New Roman" w:hAnsi="Times New Roman"/>
          <w:sz w:val="17"/>
          <w:szCs w:val="17"/>
          <w:i w:val="1"/>
          <w:iCs w:val="1"/>
          <w:color w:val="auto"/>
        </w:rPr>
        <w:t>Livre VI du Code de commerce</w:t>
      </w:r>
      <w:r>
        <w:rPr>
          <w:rFonts w:ascii="Times New Roman" w:cs="Times New Roman" w:eastAsia="Times New Roman" w:hAnsi="Times New Roman"/>
          <w:sz w:val="17"/>
          <w:szCs w:val="17"/>
          <w:color w:val="auto"/>
        </w:rPr>
        <w:t>) has been taken, initiated or filed against the Company between the date of the Examined Documents and this opinion.</w:t>
      </w:r>
    </w:p>
    <w:p>
      <w:pPr>
        <w:spacing w:after="0" w:line="18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We have further assumed that there has been no oral modification of, or amendment or supplement (including any express or implied waiver, however arising) to, any of the Examined Documents or any other documents or instruments used by us to form the basis of the opinion expressed below and that such documents are in full force and effect at all times at which the Offered Securities are issued offered or sold by the Company.</w:t>
      </w:r>
    </w:p>
    <w:p>
      <w:pPr>
        <w:spacing w:after="0" w:line="176"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 xml:space="preserve">This opinion is rendered by us as lawyers before the Paris Appeal Court and is furnished to you in connection with the legal matters enumerated below, speaks only as of the date hereof and is limited to the laws of France as in effect on the date hereof as currently construed by the French </w:t>
      </w:r>
      <w:r>
        <w:rPr>
          <w:rFonts w:ascii="Times New Roman" w:cs="Times New Roman" w:eastAsia="Times New Roman" w:hAnsi="Times New Roman"/>
          <w:sz w:val="18"/>
          <w:szCs w:val="18"/>
          <w:i w:val="1"/>
          <w:iCs w:val="1"/>
          <w:color w:val="auto"/>
        </w:rPr>
        <w:t>Conseil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Constitutionnel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Cour de Cassation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Conseil d’Etat </w:t>
      </w:r>
      <w:r>
        <w:rPr>
          <w:rFonts w:ascii="Times New Roman" w:cs="Times New Roman" w:eastAsia="Times New Roman" w:hAnsi="Times New Roman"/>
          <w:sz w:val="18"/>
          <w:szCs w:val="18"/>
          <w:color w:val="auto"/>
        </w:rPr>
        <w:t>in their decisions as published in major legal journals. We do not express any opinion as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other than French laws as in effect on the date hereof. We express no opinion as to matters of facts. We did not establish or verify the accuracy of facts or the reasonableness of any statement or intention contained in the Examined Documents, or verify that no substantial fact or contractual stipulation has been omitted from the Examined Documents. We express no opinion as to tax matters. We have not undertaken to advise you of any subsequent changes in French law, in the legal status of the Company or any other fact, which hereafter may come to our attention and would be likely to affect the matters evoked herein.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9" w:name="page70"/>
    <w:bookmarkEnd w:id="69"/>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basis of the foregoing and such examination of law as we have deemed necessary, and subject to the assumptions, limitations and qualifications set forth in this letter, we are of the opinion that (i) the issuance of the Offered Shares has been duly authorized; and (ii) the Offered Shares, when issued by the Company in accordance with the Shareholders’ Resolutions and the decisions of the Board and of the CEO, pursuant to, and in accordance with, the Underwriting Agreement, upon payment of the consideration provided therein to the Company and issuance of the depositary certificate (</w:t>
      </w:r>
      <w:r>
        <w:rPr>
          <w:rFonts w:ascii="Times New Roman" w:cs="Times New Roman" w:eastAsia="Times New Roman" w:hAnsi="Times New Roman"/>
          <w:sz w:val="18"/>
          <w:szCs w:val="18"/>
          <w:i w:val="1"/>
          <w:iCs w:val="1"/>
          <w:color w:val="auto"/>
        </w:rPr>
        <w:t>certificat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 dépositaire</w:t>
      </w:r>
      <w:r>
        <w:rPr>
          <w:rFonts w:ascii="Times New Roman" w:cs="Times New Roman" w:eastAsia="Times New Roman" w:hAnsi="Times New Roman"/>
          <w:sz w:val="18"/>
          <w:szCs w:val="18"/>
          <w:color w:val="auto"/>
        </w:rPr>
        <w:t>) in respect of the Offered Shares, will be validly issued, fully paid and non-assessable.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 expressed above is subject to the following qualifications:</w:t>
      </w:r>
    </w:p>
    <w:p>
      <w:pPr>
        <w:spacing w:after="0" w:line="129" w:lineRule="exact"/>
        <w:rPr>
          <w:sz w:val="20"/>
          <w:szCs w:val="20"/>
          <w:color w:val="auto"/>
        </w:rPr>
      </w:pPr>
    </w:p>
    <w:p>
      <w:pPr>
        <w:ind w:left="544" w:right="60" w:hanging="544"/>
        <w:spacing w:after="0" w:line="256"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opinion is subject to the effect of any laws or regulations relating to bankruptcy, insolvency, moratorium,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mandate (</w:t>
      </w:r>
      <w:r>
        <w:rPr>
          <w:rFonts w:ascii="Times New Roman" w:cs="Times New Roman" w:eastAsia="Times New Roman" w:hAnsi="Times New Roman"/>
          <w:sz w:val="18"/>
          <w:szCs w:val="18"/>
          <w:i w:val="1"/>
          <w:iCs w:val="1"/>
          <w:color w:val="auto"/>
        </w:rPr>
        <w:t>mandat ad hoc</w:t>
      </w:r>
      <w:r>
        <w:rPr>
          <w:rFonts w:ascii="Times New Roman" w:cs="Times New Roman" w:eastAsia="Times New Roman" w:hAnsi="Times New Roman"/>
          <w:sz w:val="18"/>
          <w:szCs w:val="18"/>
          <w:color w:val="auto"/>
        </w:rPr>
        <w:t>), conciliation, accelerated judicial safeguard (</w:t>
      </w:r>
      <w:r>
        <w:rPr>
          <w:rFonts w:ascii="Times New Roman" w:cs="Times New Roman" w:eastAsia="Times New Roman" w:hAnsi="Times New Roman"/>
          <w:sz w:val="18"/>
          <w:szCs w:val="18"/>
          <w:i w:val="1"/>
          <w:iCs w:val="1"/>
          <w:color w:val="auto"/>
        </w:rPr>
        <w:t>procédure de sauvegarde accélérée</w:t>
      </w:r>
      <w:r>
        <w:rPr>
          <w:rFonts w:ascii="Times New Roman" w:cs="Times New Roman" w:eastAsia="Times New Roman" w:hAnsi="Times New Roman"/>
          <w:sz w:val="18"/>
          <w:szCs w:val="18"/>
          <w:color w:val="auto"/>
        </w:rPr>
        <w:t>), judicial recovery proceedings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or judicial liquidation proceedings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winding-up, or any other analogous proceedings or circumstances and, as a general rule, subject to the effect of any laws or regulations amending and/or protecting the creditors’ rights. In particular, we do not express any opinion herein as to the enforceability and effectiveness of rights, obligations or recourses of any party to the Examined Documents in the event where one of the proceedings set out in Book VI of the French Commercial code (</w:t>
      </w:r>
      <w:r>
        <w:rPr>
          <w:rFonts w:ascii="Times New Roman" w:cs="Times New Roman" w:eastAsia="Times New Roman" w:hAnsi="Times New Roman"/>
          <w:sz w:val="18"/>
          <w:szCs w:val="18"/>
          <w:i w:val="1"/>
          <w:iCs w:val="1"/>
          <w:color w:val="auto"/>
        </w:rPr>
        <w:t>Livre VI du Code de commerce</w:t>
      </w:r>
      <w:r>
        <w:rPr>
          <w:rFonts w:ascii="Times New Roman" w:cs="Times New Roman" w:eastAsia="Times New Roman" w:hAnsi="Times New Roman"/>
          <w:sz w:val="18"/>
          <w:szCs w:val="18"/>
          <w:color w:val="auto"/>
        </w:rPr>
        <w:t>) would be initiated, or any other similar proceedings would be initiated in a foreign jurisdiction.</w:t>
      </w:r>
    </w:p>
    <w:p>
      <w:pPr>
        <w:spacing w:after="0" w:line="90" w:lineRule="exact"/>
        <w:rPr>
          <w:rFonts w:ascii="Times New Roman" w:cs="Times New Roman" w:eastAsia="Times New Roman" w:hAnsi="Times New Roman"/>
          <w:sz w:val="18"/>
          <w:szCs w:val="18"/>
          <w:color w:val="auto"/>
        </w:rPr>
      </w:pPr>
    </w:p>
    <w:p>
      <w:pPr>
        <w:ind w:left="544" w:hanging="544"/>
        <w:spacing w:after="0" w:line="258"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noted that any such event affecting the Company does not necessarily give rise to immediate formalities at the relevant Register of Commerce and Companies (</w:t>
      </w:r>
      <w:r>
        <w:rPr>
          <w:rFonts w:ascii="Times New Roman" w:cs="Times New Roman" w:eastAsia="Times New Roman" w:hAnsi="Times New Roman"/>
          <w:sz w:val="18"/>
          <w:szCs w:val="18"/>
          <w:i w:val="1"/>
          <w:iCs w:val="1"/>
          <w:color w:val="auto"/>
        </w:rPr>
        <w:t>Registre du Commerce et des Sociétés</w:t>
      </w:r>
      <w:r>
        <w:rPr>
          <w:rFonts w:ascii="Times New Roman" w:cs="Times New Roman" w:eastAsia="Times New Roman" w:hAnsi="Times New Roman"/>
          <w:sz w:val="18"/>
          <w:szCs w:val="18"/>
          <w:color w:val="auto"/>
        </w:rPr>
        <w:t xml:space="preserve">) and that, once such formalities have been carried out, they are not necessarily recorded immediately on the K-bis or the Good Standing Certificate, which are accordingly not conclusive as to the occurrence of any such event. It should also be noted that the opening of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mandate (</w:t>
      </w:r>
      <w:r>
        <w:rPr>
          <w:rFonts w:ascii="Times New Roman" w:cs="Times New Roman" w:eastAsia="Times New Roman" w:hAnsi="Times New Roman"/>
          <w:sz w:val="18"/>
          <w:szCs w:val="18"/>
          <w:i w:val="1"/>
          <w:iCs w:val="1"/>
          <w:color w:val="auto"/>
        </w:rPr>
        <w:t>mandat ad hoc</w:t>
      </w:r>
      <w:r>
        <w:rPr>
          <w:rFonts w:ascii="Times New Roman" w:cs="Times New Roman" w:eastAsia="Times New Roman" w:hAnsi="Times New Roman"/>
          <w:sz w:val="18"/>
          <w:szCs w:val="18"/>
          <w:color w:val="auto"/>
        </w:rPr>
        <w:t>) or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proceedings never appears on such document.</w:t>
      </w:r>
    </w:p>
    <w:p>
      <w:pPr>
        <w:spacing w:after="0" w:line="88"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subject to French courts’ sovereign powers of interpretation of agreements (to find out the original intention of the parties when it has not been clearly stated) and appreciation of facts.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addressed to you solely for your benefit in connection with the Prospectus Supplement.</w:t>
      </w:r>
    </w:p>
    <w:p>
      <w:pPr>
        <w:spacing w:after="0" w:line="225"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It is not to be transmitted to anyone else nor is it to be relied upon by anyone else or for any other purpose or quoted or referred to in any public document (other than the Prospectus Supplement) or filed with anyone without our prior written express consent.</w:t>
      </w:r>
    </w:p>
    <w:p>
      <w:pPr>
        <w:spacing w:after="0" w:line="16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We hereby consent to the filing with the U.S. Securities and Exchange Commission of this opinion as Exhibit 5.1 to the Current Report on Form 6-K, filed on the date hereof by the Company and incorporated by reference into the Registration Statement filed by the Company to effect the registration of the New Shares under the Securities Act and to the reference to Dechert (Paris) LLP under the caption “Legal Matters” in the prospectus constituting a part of such Registration Statement and the Prospectus Supplement. In giving such consent, we do not thereby admit that we are included in the category of persons whose consent is required under Section 7 of the Securities Act of 1933, as amended, or the rules and regulations of the U.S. Securities and Exchange Commission promulgated thereunder.</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governed by French law and must be construed in accordance with French law.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Dechert (Paris) LLP</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330"/>
    </w:lvl>
  </w:abstractNum>
  <w:abstractNum w:abstractNumId="1">
    <w:nsid w:val="5072367"/>
    <w:multiLevelType w:val="hybridMultilevel"/>
    <w:lvl w:ilvl="0">
      <w:lvlJc w:val="left"/>
      <w:lvlText w:val="%1."/>
      <w:numFmt w:val="decimal"/>
      <w:start w:val="1"/>
    </w:lvl>
    <w:lvl w:ilvl="1">
      <w:lvlJc w:val="left"/>
      <w:lvlText w:val="(%2)"/>
      <w:numFmt w:val="lowerLetter"/>
      <w:start w:val="1"/>
    </w:lvl>
  </w:abstractNum>
  <w:abstractNum w:abstractNumId="2">
    <w:nsid w:val="3804823E"/>
    <w:multiLevelType w:val="hybridMultilevel"/>
    <w:lvl w:ilvl="0">
      <w:lvlJc w:val="left"/>
      <w:lvlText w:val="(%1)"/>
      <w:numFmt w:val="lowerLetter"/>
      <w:start w:val="2"/>
    </w:lvl>
  </w:abstractNum>
  <w:abstractNum w:abstractNumId="3">
    <w:nsid w:val="77465F01"/>
    <w:multiLevelType w:val="hybridMultilevel"/>
    <w:lvl w:ilvl="0">
      <w:lvlJc w:val="left"/>
      <w:lvlText w:val="(%1)"/>
      <w:numFmt w:val="lowerLetter"/>
      <w:start w:val="4"/>
    </w:lvl>
  </w:abstractNum>
  <w:abstractNum w:abstractNumId="4">
    <w:nsid w:val="7724C67E"/>
    <w:multiLevelType w:val="hybridMultilevel"/>
    <w:lvl w:ilvl="0">
      <w:lvlJc w:val="left"/>
      <w:lvlText w:val="(%1)"/>
      <w:numFmt w:val="lowerLetter"/>
      <w:start w:val="5"/>
    </w:lvl>
  </w:abstractNum>
  <w:abstractNum w:abstractNumId="5">
    <w:nsid w:val="5C482A97"/>
    <w:multiLevelType w:val="hybridMultilevel"/>
    <w:lvl w:ilvl="0">
      <w:lvlJc w:val="left"/>
      <w:lvlText w:val="(%1)"/>
      <w:numFmt w:val="lowerLetter"/>
      <w:start w:val="10"/>
    </w:lvl>
  </w:abstractNum>
  <w:abstractNum w:abstractNumId="6">
    <w:nsid w:val="2463B9EA"/>
    <w:multiLevelType w:val="hybridMultilevel"/>
    <w:lvl w:ilvl="0">
      <w:lvlJc w:val="left"/>
      <w:lvlText w:val="(%1)"/>
      <w:numFmt w:val="lowerLetter"/>
      <w:start w:val="13"/>
    </w:lvl>
  </w:abstractNum>
  <w:abstractNum w:abstractNumId="7">
    <w:nsid w:val="5E884ADC"/>
    <w:multiLevelType w:val="hybridMultilevel"/>
    <w:lvl w:ilvl="0">
      <w:lvlJc w:val="left"/>
      <w:lvlText w:val="%1"/>
      <w:numFmt w:val="lowerLetter"/>
      <w:start w:val="1"/>
    </w:lvl>
    <w:lvl w:ilvl="1">
      <w:lvlJc w:val="left"/>
      <w:lvlText w:val="(%2)"/>
      <w:numFmt w:val="lowerLetter"/>
      <w:start w:val="17"/>
    </w:lvl>
  </w:abstractNum>
  <w:abstractNum w:abstractNumId="8">
    <w:nsid w:val="51EAD36B"/>
    <w:multiLevelType w:val="hybridMultilevel"/>
    <w:lvl w:ilvl="0">
      <w:lvlJc w:val="left"/>
      <w:lvlText w:val="(%1)"/>
      <w:numFmt w:val="lowerLetter"/>
      <w:start w:val="9"/>
    </w:lvl>
    <w:lvl w:ilvl="1">
      <w:lvlJc w:val="left"/>
      <w:lvlText w:val="(%2)"/>
      <w:numFmt w:val="lowerLetter"/>
      <w:start w:val="18"/>
    </w:lvl>
  </w:abstractNum>
  <w:abstractNum w:abstractNumId="9">
    <w:nsid w:val="2D517796"/>
    <w:multiLevelType w:val="hybridMultilevel"/>
    <w:lvl w:ilvl="0">
      <w:lvlJc w:val="left"/>
      <w:lvlText w:val="(%1)"/>
      <w:numFmt w:val="lowerLetter"/>
      <w:start w:val="21"/>
    </w:lvl>
  </w:abstractNum>
  <w:abstractNum w:abstractNumId="10">
    <w:nsid w:val="580BD78F"/>
    <w:multiLevelType w:val="hybridMultilevel"/>
    <w:lvl w:ilvl="0">
      <w:lvlJc w:val="left"/>
      <w:lvlText w:val="(%1)"/>
      <w:numFmt w:val="lowerLetter"/>
      <w:start w:val="25"/>
    </w:lvl>
  </w:abstractNum>
  <w:abstractNum w:abstractNumId="11">
    <w:nsid w:val="153EA438"/>
    <w:multiLevelType w:val="hybridMultilevel"/>
    <w:lvl w:ilvl="0">
      <w:lvlJc w:val="left"/>
      <w:lvlText w:val="(%1)"/>
      <w:numFmt w:val="lowerLetter"/>
      <w:start w:val="27"/>
    </w:lvl>
  </w:abstractNum>
  <w:abstractNum w:abstractNumId="12">
    <w:nsid w:val="3855585C"/>
    <w:multiLevelType w:val="hybridMultilevel"/>
    <w:lvl w:ilvl="0">
      <w:lvlJc w:val="left"/>
      <w:lvlText w:val="(%1)"/>
      <w:numFmt w:val="lowerLetter"/>
      <w:start w:val="31"/>
    </w:lvl>
  </w:abstractNum>
  <w:abstractNum w:abstractNumId="13">
    <w:nsid w:val="70A64E2A"/>
    <w:multiLevelType w:val="hybridMultilevel"/>
    <w:lvl w:ilvl="0">
      <w:lvlJc w:val="left"/>
      <w:lvlText w:val="(%1)"/>
      <w:numFmt w:val="lowerLetter"/>
      <w:start w:val="33"/>
    </w:lvl>
    <w:lvl w:ilvl="1">
      <w:lvlJc w:val="left"/>
      <w:lvlText w:val="(%2)"/>
      <w:numFmt w:val="lowerRoman"/>
      <w:start w:val="1"/>
    </w:lvl>
    <w:lvl w:ilvl="2">
      <w:lvlJc w:val="left"/>
      <w:lvlText w:val="(%3)"/>
      <w:numFmt w:val="upperLetter"/>
      <w:start w:val="1"/>
    </w:lvl>
  </w:abstractNum>
  <w:abstractNum w:abstractNumId="14">
    <w:nsid w:val="6A2342EC"/>
    <w:multiLevelType w:val="hybridMultilevel"/>
    <w:lvl w:ilvl="0">
      <w:lvlJc w:val="left"/>
      <w:lvlText w:val="%1"/>
      <w:numFmt w:val="lowerLetter"/>
      <w:start w:val="1"/>
    </w:lvl>
    <w:lvl w:ilvl="1">
      <w:lvlJc w:val="left"/>
      <w:lvlText w:val="(%2)"/>
      <w:numFmt w:val="lowerRoman"/>
      <w:start w:val="4"/>
    </w:lvl>
  </w:abstractNum>
  <w:abstractNum w:abstractNumId="15">
    <w:nsid w:val="2A487CB0"/>
    <w:multiLevelType w:val="hybridMultilevel"/>
    <w:lvl w:ilvl="0">
      <w:lvlJc w:val="left"/>
      <w:lvlText w:val="(%1)"/>
      <w:numFmt w:val="lowerLetter"/>
      <w:start w:val="34"/>
    </w:lvl>
    <w:lvl w:ilvl="1">
      <w:lvlJc w:val="left"/>
      <w:lvlText w:val="%2"/>
      <w:numFmt w:val="lowerRoman"/>
      <w:start w:val="1"/>
    </w:lvl>
  </w:abstractNum>
  <w:abstractNum w:abstractNumId="16">
    <w:nsid w:val="1D4ED43B"/>
    <w:multiLevelType w:val="hybridMultilevel"/>
    <w:lvl w:ilvl="0">
      <w:lvlJc w:val="left"/>
      <w:lvlText w:val="(%1)"/>
      <w:numFmt w:val="lowerRoman"/>
      <w:start w:val="8"/>
    </w:lvl>
  </w:abstractNum>
  <w:abstractNum w:abstractNumId="17">
    <w:nsid w:val="725A06FB"/>
    <w:multiLevelType w:val="hybridMultilevel"/>
    <w:lvl w:ilvl="0">
      <w:lvlJc w:val="left"/>
      <w:lvlText w:val="%1"/>
      <w:numFmt w:val="decimal"/>
      <w:start w:val="1"/>
    </w:lvl>
    <w:lvl w:ilvl="1">
      <w:lvlJc w:val="left"/>
      <w:lvlText w:val="(%2)"/>
      <w:numFmt w:val="lowerLetter"/>
      <w:start w:val="37"/>
    </w:lvl>
  </w:abstractNum>
  <w:abstractNum w:abstractNumId="18">
    <w:nsid w:val="2CD89A32"/>
    <w:multiLevelType w:val="hybridMultilevel"/>
    <w:lvl w:ilvl="0">
      <w:lvlJc w:val="left"/>
      <w:lvlText w:val="(%1)"/>
      <w:numFmt w:val="decimal"/>
      <w:start w:val="3"/>
    </w:lvl>
    <w:lvl w:ilvl="1">
      <w:lvlJc w:val="left"/>
      <w:lvlText w:val="(%2)"/>
      <w:numFmt w:val="lowerLetter"/>
      <w:start w:val="39"/>
    </w:lvl>
  </w:abstractNum>
  <w:abstractNum w:abstractNumId="19">
    <w:nsid w:val="57E4CCAF"/>
    <w:multiLevelType w:val="hybridMultilevel"/>
    <w:lvl w:ilvl="0">
      <w:lvlJc w:val="left"/>
      <w:lvlText w:val="(%1)"/>
      <w:numFmt w:val="lowerRoman"/>
      <w:start w:val="6"/>
    </w:lvl>
    <w:lvl w:ilvl="1">
      <w:lvlJc w:val="left"/>
      <w:lvlText w:val="(%2)"/>
      <w:numFmt w:val="lowerLetter"/>
      <w:start w:val="40"/>
    </w:lvl>
  </w:abstractNum>
  <w:abstractNum w:abstractNumId="20">
    <w:nsid w:val="7A6D8D3C"/>
    <w:multiLevelType w:val="hybridMultilevel"/>
    <w:lvl w:ilvl="0">
      <w:lvlJc w:val="left"/>
      <w:lvlText w:val="§§"/>
      <w:numFmt w:val="bullet"/>
      <w:start w:val="1"/>
    </w:lvl>
    <w:lvl w:ilvl="1">
      <w:lvlJc w:val="left"/>
      <w:lvlText w:val="(%2)"/>
      <w:numFmt w:val="lowerLetter"/>
      <w:start w:val="41"/>
    </w:lvl>
  </w:abstractNum>
  <w:abstractNum w:abstractNumId="21">
    <w:nsid w:val="4B588F54"/>
    <w:multiLevelType w:val="hybridMultilevel"/>
    <w:lvl w:ilvl="0">
      <w:lvlJc w:val="left"/>
      <w:lvlText w:val="(%1)"/>
      <w:numFmt w:val="lowerLetter"/>
      <w:start w:val="42"/>
    </w:lvl>
  </w:abstractNum>
  <w:abstractNum w:abstractNumId="22">
    <w:nsid w:val="542289EC"/>
    <w:multiLevelType w:val="hybridMultilevel"/>
    <w:lvl w:ilvl="0">
      <w:lvlJc w:val="left"/>
      <w:lvlText w:val="(%1)"/>
      <w:numFmt w:val="lowerLetter"/>
      <w:start w:val="43"/>
    </w:lvl>
  </w:abstractNum>
  <w:abstractNum w:abstractNumId="23">
    <w:nsid w:val="6DE91B18"/>
    <w:multiLevelType w:val="hybridMultilevel"/>
    <w:lvl w:ilvl="0">
      <w:lvlJc w:val="left"/>
      <w:lvlText w:val="(%1)"/>
      <w:numFmt w:val="lowerLetter"/>
      <w:start w:val="46"/>
    </w:lvl>
  </w:abstractNum>
  <w:abstractNum w:abstractNumId="24">
    <w:nsid w:val="38437FDB"/>
    <w:multiLevelType w:val="hybridMultilevel"/>
    <w:lvl w:ilvl="0">
      <w:lvlJc w:val="left"/>
      <w:lvlText w:val="%1"/>
      <w:numFmt w:val="lowerLetter"/>
      <w:start w:val="1"/>
    </w:lvl>
    <w:lvl w:ilvl="1">
      <w:lvlJc w:val="left"/>
      <w:lvlText w:val="(%2)"/>
      <w:numFmt w:val="lowerLetter"/>
      <w:start w:val="47"/>
    </w:lvl>
  </w:abstractNum>
  <w:abstractNum w:abstractNumId="25">
    <w:nsid w:val="7644A45C"/>
    <w:multiLevelType w:val="hybridMultilevel"/>
    <w:lvl w:ilvl="0">
      <w:lvlJc w:val="left"/>
      <w:lvlText w:val="(%1)"/>
      <w:numFmt w:val="lowerLetter"/>
      <w:start w:val="35"/>
    </w:lvl>
    <w:lvl w:ilvl="1">
      <w:lvlJc w:val="left"/>
      <w:lvlText w:val="%2"/>
      <w:numFmt w:val="lowerLetter"/>
      <w:start w:val="1"/>
    </w:lvl>
  </w:abstractNum>
  <w:abstractNum w:abstractNumId="26">
    <w:nsid w:val="32FFF902"/>
    <w:multiLevelType w:val="hybridMultilevel"/>
    <w:lvl w:ilvl="0">
      <w:lvlJc w:val="left"/>
      <w:lvlText w:val="(%1)"/>
      <w:numFmt w:val="lowerLetter"/>
      <w:start w:val="50"/>
    </w:lvl>
  </w:abstractNum>
  <w:abstractNum w:abstractNumId="27">
    <w:nsid w:val="684A481A"/>
    <w:multiLevelType w:val="hybridMultilevel"/>
    <w:lvl w:ilvl="0">
      <w:lvlJc w:val="left"/>
      <w:lvlText w:val="(%1)"/>
      <w:numFmt w:val="lowerLetter"/>
      <w:start w:val="53"/>
    </w:lvl>
  </w:abstractNum>
  <w:abstractNum w:abstractNumId="28">
    <w:nsid w:val="579478FE"/>
    <w:multiLevelType w:val="hybridMultilevel"/>
    <w:lvl w:ilvl="0">
      <w:lvlJc w:val="left"/>
      <w:lvlText w:val="%1"/>
      <w:numFmt w:val="lowerRoman"/>
      <w:start w:val="1"/>
    </w:lvl>
    <w:lvl w:ilvl="1">
      <w:lvlJc w:val="left"/>
      <w:lvlText w:val="(%2)"/>
      <w:numFmt w:val="lowerLetter"/>
      <w:start w:val="54"/>
    </w:lvl>
  </w:abstractNum>
  <w:abstractNum w:abstractNumId="29">
    <w:nsid w:val="749ABB43"/>
    <w:multiLevelType w:val="hybridMultilevel"/>
    <w:lvl w:ilvl="0">
      <w:lvlJc w:val="left"/>
      <w:lvlText w:val="(%1)"/>
      <w:numFmt w:val="lowerRoman"/>
      <w:start w:val="3"/>
    </w:lvl>
    <w:lvl w:ilvl="1">
      <w:lvlJc w:val="left"/>
      <w:lvlText w:val="%2"/>
      <w:numFmt w:val="lowerLetter"/>
      <w:start w:val="1"/>
    </w:lvl>
  </w:abstractNum>
  <w:abstractNum w:abstractNumId="30">
    <w:nsid w:val="3DC240FB"/>
    <w:multiLevelType w:val="hybridMultilevel"/>
    <w:lvl w:ilvl="0">
      <w:lvlJc w:val="left"/>
      <w:lvlText w:val="(%1)"/>
      <w:numFmt w:val="lowerLetter"/>
      <w:start w:val="57"/>
    </w:lvl>
    <w:lvl w:ilvl="1">
      <w:lvlJc w:val="left"/>
      <w:lvlText w:val="(%2)"/>
      <w:numFmt w:val="lowerLetter"/>
      <w:start w:val="9"/>
    </w:lvl>
  </w:abstractNum>
  <w:abstractNum w:abstractNumId="31">
    <w:nsid w:val="1BA026FA"/>
    <w:multiLevelType w:val="hybridMultilevel"/>
    <w:lvl w:ilvl="0">
      <w:lvlJc w:val="left"/>
      <w:lvlText w:val="%1"/>
      <w:numFmt w:val="lowerLetter"/>
      <w:start w:val="1"/>
    </w:lvl>
    <w:lvl w:ilvl="1">
      <w:lvlJc w:val="left"/>
      <w:lvlText w:val="(%2)"/>
      <w:numFmt w:val="lowerRoman"/>
      <w:start w:val="2"/>
    </w:lvl>
  </w:abstractNum>
  <w:abstractNum w:abstractNumId="32">
    <w:nsid w:val="79A1DEAA"/>
    <w:multiLevelType w:val="hybridMultilevel"/>
    <w:lvl w:ilvl="0">
      <w:lvlJc w:val="left"/>
      <w:lvlText w:val="(%1)"/>
      <w:numFmt w:val="lowerLetter"/>
      <w:start w:val="62"/>
    </w:lvl>
    <w:lvl w:ilvl="1">
      <w:lvlJc w:val="left"/>
      <w:lvlText w:val="%2"/>
      <w:numFmt w:val="lowerRoman"/>
      <w:start w:val="1"/>
    </w:lvl>
  </w:abstractNum>
  <w:abstractNum w:abstractNumId="33">
    <w:nsid w:val="75C6C33A"/>
    <w:multiLevelType w:val="hybridMultilevel"/>
    <w:lvl w:ilvl="0">
      <w:lvlJc w:val="left"/>
      <w:lvlText w:val="%1."/>
      <w:numFmt w:val="decimal"/>
      <w:start w:val="2"/>
    </w:lvl>
  </w:abstractNum>
  <w:abstractNum w:abstractNumId="34">
    <w:nsid w:val="12E685FB"/>
    <w:multiLevelType w:val="hybridMultilevel"/>
    <w:lvl w:ilvl="0">
      <w:lvlJc w:val="left"/>
      <w:lvlText w:val="%1."/>
      <w:numFmt w:val="decimal"/>
      <w:start w:val="3"/>
    </w:lvl>
  </w:abstractNum>
  <w:abstractNum w:abstractNumId="35">
    <w:nsid w:val="70C6A529"/>
    <w:multiLevelType w:val="hybridMultilevel"/>
    <w:lvl w:ilvl="0">
      <w:lvlJc w:val="left"/>
      <w:lvlText w:val="%1."/>
      <w:numFmt w:val="decimal"/>
      <w:start w:val="5"/>
    </w:lvl>
  </w:abstractNum>
  <w:abstractNum w:abstractNumId="36">
    <w:nsid w:val="520EEDD1"/>
    <w:multiLevelType w:val="hybridMultilevel"/>
    <w:lvl w:ilvl="0">
      <w:lvlJc w:val="left"/>
      <w:lvlText w:val="(%1)"/>
      <w:numFmt w:val="lowerLetter"/>
      <w:start w:val="1"/>
    </w:lvl>
    <w:lvl w:ilvl="1">
      <w:lvlJc w:val="left"/>
      <w:lvlText w:val="(%2)"/>
      <w:numFmt w:val="lowerRoman"/>
      <w:start w:val="1"/>
    </w:lvl>
  </w:abstractNum>
  <w:abstractNum w:abstractNumId="37">
    <w:nsid w:val="374A3FE6"/>
    <w:multiLevelType w:val="hybridMultilevel"/>
    <w:lvl w:ilvl="0">
      <w:lvlJc w:val="left"/>
      <w:lvlText w:val="(%1)"/>
      <w:numFmt w:val="lowerLetter"/>
      <w:start w:val="2"/>
    </w:lvl>
  </w:abstractNum>
  <w:abstractNum w:abstractNumId="38">
    <w:nsid w:val="4F4EF005"/>
    <w:multiLevelType w:val="hybridMultilevel"/>
    <w:lvl w:ilvl="0">
      <w:lvlJc w:val="left"/>
      <w:lvlText w:val="(%1)"/>
      <w:numFmt w:val="lowerLetter"/>
      <w:start w:val="9"/>
    </w:lvl>
  </w:abstractNum>
  <w:abstractNum w:abstractNumId="39">
    <w:nsid w:val="23F9C13C"/>
    <w:multiLevelType w:val="hybridMultilevel"/>
    <w:lvl w:ilvl="0">
      <w:lvlJc w:val="left"/>
      <w:lvlText w:val="(%1)"/>
      <w:numFmt w:val="lowerLetter"/>
      <w:start w:val="17"/>
    </w:lvl>
    <w:lvl w:ilvl="1">
      <w:lvlJc w:val="left"/>
      <w:lvlText w:val="(%2)"/>
      <w:numFmt w:val="lowerRoman"/>
      <w:start w:val="1"/>
    </w:lvl>
  </w:abstractNum>
  <w:abstractNum w:abstractNumId="40">
    <w:nsid w:val="649BB77C"/>
    <w:multiLevelType w:val="hybridMultilevel"/>
    <w:lvl w:ilvl="0">
      <w:lvlJc w:val="left"/>
      <w:lvlText w:val="(%1)"/>
      <w:numFmt w:val="lowerRoman"/>
      <w:start w:val="5"/>
    </w:lvl>
  </w:abstractNum>
  <w:abstractNum w:abstractNumId="41">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42">
    <w:nsid w:val="393865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3">
    <w:nsid w:val="1CF10FD8"/>
    <w:multiLevelType w:val="hybridMultilevel"/>
    <w:lvl w:ilvl="0">
      <w:lvlJc w:val="left"/>
      <w:lvlText w:val="(%1)"/>
      <w:numFmt w:val="lowerLetter"/>
      <w:start w:val="5"/>
    </w:lvl>
  </w:abstractNum>
  <w:abstractNum w:abstractNumId="44">
    <w:nsid w:val="180115BE"/>
    <w:multiLevelType w:val="hybridMultilevel"/>
    <w:lvl w:ilvl="0">
      <w:lvlJc w:val="left"/>
      <w:lvlText w:val="(%1)"/>
      <w:numFmt w:val="lowerLetter"/>
      <w:start w:val="7"/>
    </w:lvl>
  </w:abstractNum>
  <w:abstractNum w:abstractNumId="45">
    <w:nsid w:val="235BA861"/>
    <w:multiLevelType w:val="hybridMultilevel"/>
    <w:lvl w:ilvl="0">
      <w:lvlJc w:val="left"/>
      <w:lvlText w:val="(%1)"/>
      <w:numFmt w:val="lowerLetter"/>
      <w:start w:val="11"/>
    </w:lvl>
  </w:abstractNum>
  <w:abstractNum w:abstractNumId="46">
    <w:nsid w:val="47398C89"/>
    <w:multiLevelType w:val="hybridMultilevel"/>
    <w:lvl w:ilvl="0">
      <w:lvlJc w:val="left"/>
      <w:lvlText w:val="(%1)"/>
      <w:numFmt w:val="lowerLetter"/>
      <w:start w:val="14"/>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upperLetter"/>
      <w:start w:val="5"/>
    </w:lvl>
  </w:abstractNum>
  <w:abstractNum w:abstractNumId="49">
    <w:nsid w:val="741226BB"/>
    <w:multiLevelType w:val="hybridMultilevel"/>
    <w:lvl w:ilvl="0">
      <w:lvlJc w:val="left"/>
      <w:lvlText w:val="%1."/>
      <w:numFmt w:val="decimal"/>
      <w:start w:val="7"/>
    </w:lvl>
    <w:lvl w:ilvl="1">
      <w:lvlJc w:val="left"/>
      <w:lvlText w:val="(%2)"/>
      <w:numFmt w:val="lowerLetter"/>
      <w:start w:val="2"/>
    </w:lvl>
  </w:abstractNum>
  <w:abstractNum w:abstractNumId="50">
    <w:nsid w:val="D34B6A8"/>
    <w:multiLevelType w:val="hybridMultilevel"/>
    <w:lvl w:ilvl="0">
      <w:lvlJc w:val="left"/>
      <w:lvlText w:val="%1"/>
      <w:numFmt w:val="lowerLetter"/>
      <w:start w:val="1"/>
    </w:lvl>
    <w:lvl w:ilvl="1">
      <w:lvlJc w:val="left"/>
      <w:lvlText w:val="(%2)"/>
      <w:numFmt w:val="lowerLetter"/>
      <w:start w:val="3"/>
    </w:lvl>
  </w:abstractNum>
  <w:abstractNum w:abstractNumId="51">
    <w:nsid w:val="10233C99"/>
    <w:multiLevelType w:val="hybridMultilevel"/>
    <w:lvl w:ilvl="0">
      <w:lvlJc w:val="left"/>
      <w:lvlText w:val="(%1)"/>
      <w:numFmt w:val="lowerLetter"/>
      <w:start w:val="35"/>
    </w:lvl>
    <w:lvl w:ilvl="1">
      <w:lvlJc w:val="left"/>
      <w:lvlText w:val="%2"/>
      <w:numFmt w:val="lowerLetter"/>
      <w:start w:val="1"/>
    </w:lvl>
  </w:abstractNum>
  <w:abstractNum w:abstractNumId="52">
    <w:nsid w:val="3F6AB60F"/>
    <w:multiLevelType w:val="hybridMultilevel"/>
    <w:lvl w:ilvl="0">
      <w:lvlJc w:val="left"/>
      <w:lvlText w:val="(%1)"/>
      <w:numFmt w:val="lowerLetter"/>
      <w:start w:val="4"/>
    </w:lvl>
  </w:abstractNum>
  <w:abstractNum w:abstractNumId="53">
    <w:nsid w:val="61574095"/>
    <w:multiLevelType w:val="hybridMultilevel"/>
    <w:lvl w:ilvl="0">
      <w:lvlJc w:val="left"/>
      <w:lvlText w:val="%1"/>
      <w:numFmt w:val="lowerLetter"/>
      <w:start w:val="1"/>
    </w:lvl>
    <w:lvl w:ilvl="1">
      <w:lvlJc w:val="left"/>
      <w:lvlText w:val="(%2)"/>
      <w:numFmt w:val="lowerLetter"/>
      <w:start w:val="6"/>
    </w:lvl>
  </w:abstractNum>
  <w:abstractNum w:abstractNumId="54">
    <w:nsid w:val="7E0C57B1"/>
    <w:multiLevelType w:val="hybridMultilevel"/>
    <w:lvl w:ilvl="0">
      <w:lvlJc w:val="left"/>
      <w:lvlText w:val="(%1)"/>
      <w:numFmt w:val="lowerLetter"/>
      <w:start w:val="35"/>
    </w:lvl>
    <w:lvl w:ilvl="1">
      <w:lvlJc w:val="left"/>
      <w:lvlText w:val="%2"/>
      <w:numFmt w:val="lowerLetter"/>
      <w:start w:val="1"/>
    </w:lvl>
  </w:abstractNum>
  <w:abstractNum w:abstractNumId="55">
    <w:nsid w:val="77AE35EB"/>
    <w:multiLevelType w:val="hybridMultilevel"/>
    <w:lvl w:ilvl="0">
      <w:lvlJc w:val="left"/>
      <w:lvlText w:val="%1."/>
      <w:numFmt w:val="decimal"/>
      <w:start w:val="9"/>
    </w:lvl>
  </w:abstractNum>
  <w:abstractNum w:abstractNumId="56">
    <w:nsid w:val="579BE4F1"/>
    <w:multiLevelType w:val="hybridMultilevel"/>
    <w:lvl w:ilvl="0">
      <w:lvlJc w:val="left"/>
      <w:lvlText w:val="%1."/>
      <w:numFmt w:val="decimal"/>
      <w:start w:val="11"/>
    </w:lvl>
  </w:abstractNum>
  <w:abstractNum w:abstractNumId="57">
    <w:nsid w:val="310C50B3"/>
    <w:multiLevelType w:val="hybridMultilevel"/>
    <w:lvl w:ilvl="0">
      <w:lvlJc w:val="left"/>
      <w:lvlText w:val="%1"/>
      <w:numFmt w:val="decimal"/>
      <w:start w:val="1"/>
    </w:lvl>
    <w:lvl w:ilvl="1">
      <w:lvlJc w:val="left"/>
      <w:lvlText w:val="(%2)"/>
      <w:numFmt w:val="lowerLetter"/>
      <w:start w:val="2"/>
    </w:lvl>
  </w:abstractNum>
  <w:abstractNum w:abstractNumId="58">
    <w:nsid w:val="5FF87E05"/>
    <w:multiLevelType w:val="hybridMultilevel"/>
    <w:lvl w:ilvl="0">
      <w:lvlJc w:val="left"/>
      <w:lvlText w:val="%1."/>
      <w:numFmt w:val="decimal"/>
      <w:start w:val="13"/>
    </w:lvl>
    <w:lvl w:ilvl="1">
      <w:lvlJc w:val="left"/>
      <w:lvlText w:val="(%2)"/>
      <w:numFmt w:val="lowerLetter"/>
      <w:start w:val="2"/>
    </w:lvl>
  </w:abstractNum>
  <w:abstractNum w:abstractNumId="59">
    <w:nsid w:val="2F305DEF"/>
    <w:multiLevelType w:val="hybridMultilevel"/>
    <w:lvl w:ilvl="0">
      <w:lvlJc w:val="left"/>
      <w:lvlText w:val="%1."/>
      <w:numFmt w:val="decimal"/>
      <w:start w:val="14"/>
    </w:lvl>
    <w:lvl w:ilvl="1">
      <w:lvlJc w:val="left"/>
      <w:lvlText w:val="(%2)"/>
      <w:numFmt w:val="lowerLetter"/>
      <w:start w:val="2"/>
    </w:lvl>
  </w:abstractNum>
  <w:abstractNum w:abstractNumId="60">
    <w:nsid w:val="25A70BF7"/>
    <w:multiLevelType w:val="hybridMultilevel"/>
    <w:lvl w:ilvl="0">
      <w:lvlJc w:val="left"/>
      <w:lvlText w:val="%1."/>
      <w:numFmt w:val="decimal"/>
      <w:start w:val="16"/>
    </w:lvl>
  </w:abstractNum>
  <w:abstractNum w:abstractNumId="61">
    <w:nsid w:val="1DBABF00"/>
    <w:multiLevelType w:val="hybridMultilevel"/>
    <w:lvl w:ilvl="0">
      <w:lvlJc w:val="left"/>
      <w:lvlText w:val="%1."/>
      <w:numFmt w:val="decimal"/>
      <w:start w:val="1"/>
    </w:lvl>
    <w:lvl w:ilvl="1">
      <w:lvlJc w:val="left"/>
      <w:lvlText w:val="%2)"/>
      <w:numFmt w:val="lowerLetter"/>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3"/>
    </w:lvl>
  </w:abstractNum>
  <w:abstractNum w:abstractNumId="65">
    <w:nsid w:val="5DB70AE5"/>
    <w:multiLevelType w:val="hybridMultilevel"/>
    <w:lvl w:ilvl="0">
      <w:lvlJc w:val="left"/>
      <w:lvlText w:val="(%1)"/>
      <w:numFmt w:val="lowerLetter"/>
      <w:start w:val="6"/>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10"/>
    </w:lvl>
  </w:abstractNum>
  <w:abstractNum w:abstractNumId="69">
    <w:nsid w:val="5F5E7FD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2025-07-24T15:21:06Z</dcterms:created>
  <dcterms:modified xsi:type="dcterms:W3CDTF">2025-07-24T15:21:06Z</dcterms:modified>
</cp:coreProperties>
</file>